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8" w:lineRule="exact"/>
        <w:jc w:val="center"/>
        <w:outlineLvl w:val="0"/>
        <w:rPr>
          <w:rFonts w:ascii="方正小标宋简体" w:hAnsi="宋体" w:eastAsia="方正小标宋简体"/>
          <w:color w:val="auto"/>
          <w:sz w:val="72"/>
          <w:szCs w:val="72"/>
        </w:rPr>
      </w:pPr>
      <w:bookmarkStart w:id="0" w:name="_Toc15377425"/>
      <w:bookmarkStart w:id="1" w:name="_Toc15396597"/>
      <w:bookmarkStart w:id="2" w:name="_Toc15396475"/>
      <w:bookmarkStart w:id="3" w:name="_Toc15378441"/>
      <w:bookmarkStart w:id="4" w:name="_Toc15377193"/>
      <w:bookmarkStart w:id="5" w:name="_Toc15306267"/>
    </w:p>
    <w:p>
      <w:pPr>
        <w:pageBreakBefore w:val="0"/>
        <w:kinsoku/>
        <w:wordWrap/>
        <w:overflowPunct/>
        <w:topLinePunct w:val="0"/>
        <w:bidi w:val="0"/>
        <w:spacing w:line="578" w:lineRule="exact"/>
        <w:jc w:val="center"/>
        <w:outlineLvl w:val="0"/>
        <w:rPr>
          <w:rFonts w:ascii="方正小标宋简体" w:hAnsi="宋体" w:eastAsia="方正小标宋简体"/>
          <w:color w:val="auto"/>
          <w:sz w:val="72"/>
          <w:szCs w:val="72"/>
        </w:rPr>
      </w:pPr>
    </w:p>
    <w:p>
      <w:pPr>
        <w:pageBreakBefore w:val="0"/>
        <w:kinsoku/>
        <w:wordWrap/>
        <w:overflowPunct/>
        <w:topLinePunct w:val="0"/>
        <w:bidi w:val="0"/>
        <w:spacing w:line="578" w:lineRule="exact"/>
        <w:jc w:val="center"/>
        <w:outlineLvl w:val="0"/>
        <w:rPr>
          <w:rFonts w:ascii="方正小标宋简体" w:hAnsi="宋体" w:eastAsia="方正小标宋简体"/>
          <w:color w:val="auto"/>
          <w:sz w:val="72"/>
          <w:szCs w:val="72"/>
        </w:rPr>
      </w:pPr>
    </w:p>
    <w:p>
      <w:pPr>
        <w:pageBreakBefore w:val="0"/>
        <w:kinsoku/>
        <w:wordWrap/>
        <w:overflowPunct/>
        <w:topLinePunct w:val="0"/>
        <w:bidi w:val="0"/>
        <w:spacing w:line="240" w:lineRule="auto"/>
        <w:jc w:val="center"/>
        <w:outlineLvl w:val="0"/>
        <w:rPr>
          <w:rFonts w:ascii="方正小标宋简体" w:hAnsi="宋体" w:eastAsia="方正小标宋简体"/>
          <w:color w:val="auto"/>
          <w:sz w:val="72"/>
          <w:szCs w:val="72"/>
        </w:rPr>
      </w:pPr>
    </w:p>
    <w:p>
      <w:pPr>
        <w:pageBreakBefore w:val="0"/>
        <w:kinsoku/>
        <w:wordWrap/>
        <w:overflowPunct/>
        <w:topLinePunct w:val="0"/>
        <w:bidi w:val="0"/>
        <w:adjustRightInd w:val="0"/>
        <w:snapToGrid w:val="0"/>
        <w:spacing w:line="240" w:lineRule="auto"/>
        <w:jc w:val="center"/>
        <w:outlineLvl w:val="0"/>
        <w:rPr>
          <w:rFonts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2021年度</w:t>
      </w:r>
      <w:bookmarkEnd w:id="0"/>
      <w:bookmarkEnd w:id="1"/>
      <w:bookmarkEnd w:id="2"/>
      <w:bookmarkEnd w:id="3"/>
      <w:bookmarkEnd w:id="4"/>
    </w:p>
    <w:p>
      <w:pPr>
        <w:pageBreakBefore w:val="0"/>
        <w:kinsoku/>
        <w:wordWrap/>
        <w:overflowPunct/>
        <w:topLinePunct w:val="0"/>
        <w:bidi w:val="0"/>
        <w:adjustRightInd w:val="0"/>
        <w:snapToGrid w:val="0"/>
        <w:spacing w:line="240" w:lineRule="auto"/>
        <w:jc w:val="center"/>
        <w:outlineLvl w:val="0"/>
        <w:rPr>
          <w:rFonts w:hint="eastAsia" w:ascii="方正小标宋简体" w:hAnsi="方正小标宋简体" w:eastAsia="方正小标宋简体" w:cs="方正小标宋简体"/>
          <w:color w:val="auto"/>
          <w:sz w:val="72"/>
          <w:szCs w:val="72"/>
          <w:lang w:eastAsia="zh-CN"/>
        </w:rPr>
      </w:pPr>
      <w:bookmarkStart w:id="6" w:name="_Toc15378442"/>
      <w:bookmarkStart w:id="7" w:name="_Toc15396476"/>
      <w:bookmarkStart w:id="8" w:name="_Toc15396598"/>
      <w:bookmarkStart w:id="9" w:name="_Toc15377194"/>
      <w:bookmarkStart w:id="10" w:name="_Toc15377426"/>
      <w:r>
        <w:rPr>
          <w:rFonts w:hint="eastAsia" w:ascii="方正小标宋简体" w:hAnsi="方正小标宋简体" w:eastAsia="方正小标宋简体" w:cs="方正小标宋简体"/>
          <w:color w:val="auto"/>
          <w:sz w:val="72"/>
          <w:szCs w:val="72"/>
        </w:rPr>
        <w:t>泸县</w:t>
      </w:r>
      <w:bookmarkEnd w:id="5"/>
      <w:bookmarkStart w:id="11" w:name="_Toc15306268"/>
      <w:r>
        <w:rPr>
          <w:rFonts w:hint="eastAsia" w:ascii="方正小标宋简体" w:hAnsi="方正小标宋简体" w:eastAsia="方正小标宋简体" w:cs="方正小标宋简体"/>
          <w:color w:val="auto"/>
          <w:sz w:val="72"/>
          <w:szCs w:val="72"/>
          <w:lang w:eastAsia="zh-CN"/>
        </w:rPr>
        <w:t>工商业联合会</w:t>
      </w:r>
    </w:p>
    <w:p>
      <w:pPr>
        <w:pageBreakBefore w:val="0"/>
        <w:kinsoku/>
        <w:wordWrap/>
        <w:overflowPunct/>
        <w:topLinePunct w:val="0"/>
        <w:bidi w:val="0"/>
        <w:adjustRightInd w:val="0"/>
        <w:snapToGrid w:val="0"/>
        <w:spacing w:line="240" w:lineRule="auto"/>
        <w:jc w:val="center"/>
        <w:outlineLvl w:val="0"/>
        <w:rPr>
          <w:rFonts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部门决算</w:t>
      </w:r>
      <w:bookmarkEnd w:id="6"/>
      <w:bookmarkEnd w:id="7"/>
      <w:bookmarkEnd w:id="8"/>
      <w:bookmarkEnd w:id="9"/>
      <w:bookmarkEnd w:id="10"/>
      <w:bookmarkEnd w:id="11"/>
    </w:p>
    <w:p>
      <w:pPr>
        <w:pageBreakBefore w:val="0"/>
        <w:widowControl/>
        <w:kinsoku/>
        <w:wordWrap/>
        <w:overflowPunct/>
        <w:topLinePunct w:val="0"/>
        <w:bidi w:val="0"/>
        <w:spacing w:line="578" w:lineRule="exact"/>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pageBreakBefore w:val="0"/>
        <w:widowControl/>
        <w:kinsoku/>
        <w:wordWrap/>
        <w:overflowPunct/>
        <w:topLinePunct w:val="0"/>
        <w:bidi w:val="0"/>
        <w:spacing w:line="578" w:lineRule="exact"/>
        <w:jc w:val="center"/>
        <w:rPr>
          <w:rFonts w:ascii="黑体" w:hAnsi="黑体" w:eastAsia="黑体" w:cstheme="minorBidi"/>
          <w:color w:val="auto"/>
          <w:sz w:val="28"/>
          <w:szCs w:val="28"/>
        </w:rPr>
      </w:pPr>
    </w:p>
    <w:p>
      <w:pPr>
        <w:pStyle w:val="12"/>
        <w:pageBreakBefore w:val="0"/>
        <w:kinsoku/>
        <w:wordWrap/>
        <w:overflowPunct/>
        <w:topLinePunct w:val="0"/>
        <w:bidi w:val="0"/>
        <w:spacing w:line="578" w:lineRule="exact"/>
        <w:rPr>
          <w:color w:val="auto"/>
        </w:rPr>
      </w:pPr>
      <w:r>
        <w:rPr>
          <w:rFonts w:hint="eastAsia"/>
          <w:color w:val="auto"/>
        </w:rPr>
        <w:t>公开时间：2022年8月29日</w:t>
      </w:r>
    </w:p>
    <w:p>
      <w:pPr>
        <w:pageBreakBefore w:val="0"/>
        <w:kinsoku/>
        <w:wordWrap/>
        <w:overflowPunct/>
        <w:topLinePunct w:val="0"/>
        <w:bidi w:val="0"/>
        <w:spacing w:line="578" w:lineRule="exact"/>
        <w:rPr>
          <w:color w:val="auto"/>
        </w:rPr>
      </w:pPr>
    </w:p>
    <w:p>
      <w:pPr>
        <w:pStyle w:val="12"/>
        <w:pageBreakBefore w:val="0"/>
        <w:kinsoku/>
        <w:wordWrap/>
        <w:overflowPunct/>
        <w:topLinePunct w:val="0"/>
        <w:bidi w:val="0"/>
        <w:adjustRightInd w:val="0"/>
        <w:snapToGrid w:val="0"/>
        <w:spacing w:before="0" w:line="578" w:lineRule="exact"/>
        <w:jc w:val="left"/>
        <w:rPr>
          <w:rFonts w:cstheme="minorBidi"/>
          <w:color w:val="auto"/>
          <w:sz w:val="24"/>
          <w:szCs w:val="24"/>
        </w:rPr>
      </w:pPr>
      <w:r>
        <w:rPr>
          <w:rFonts w:hint="eastAsia"/>
          <w:color w:val="auto"/>
          <w:sz w:val="24"/>
        </w:rPr>
        <w:t>第一部分部门概况</w:t>
      </w:r>
    </w:p>
    <w:p>
      <w:pPr>
        <w:pStyle w:val="13"/>
        <w:pageBreakBefore w:val="0"/>
        <w:kinsoku/>
        <w:wordWrap/>
        <w:overflowPunct/>
        <w:topLinePunct w:val="0"/>
        <w:bidi w:val="0"/>
        <w:adjustRightInd w:val="0"/>
        <w:snapToGrid w:val="0"/>
        <w:spacing w:line="578" w:lineRule="exact"/>
        <w:jc w:val="left"/>
        <w:rPr>
          <w:rFonts w:ascii="仿宋" w:hAnsi="仿宋" w:eastAsia="仿宋"/>
          <w:color w:val="auto"/>
          <w:sz w:val="24"/>
        </w:rPr>
      </w:pPr>
      <w:r>
        <w:rPr>
          <w:rFonts w:hint="eastAsia"/>
          <w:color w:val="auto"/>
          <w:sz w:val="24"/>
        </w:rPr>
        <w:t>一、基本职能及主要工作</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二、机构设置</w:t>
      </w:r>
    </w:p>
    <w:p>
      <w:pPr>
        <w:pStyle w:val="12"/>
        <w:pageBreakBefore w:val="0"/>
        <w:kinsoku/>
        <w:wordWrap/>
        <w:overflowPunct/>
        <w:topLinePunct w:val="0"/>
        <w:bidi w:val="0"/>
        <w:adjustRightInd w:val="0"/>
        <w:snapToGrid w:val="0"/>
        <w:spacing w:before="0" w:line="578" w:lineRule="exact"/>
        <w:jc w:val="left"/>
        <w:rPr>
          <w:color w:val="auto"/>
          <w:sz w:val="24"/>
          <w:szCs w:val="24"/>
        </w:rPr>
      </w:pPr>
      <w:r>
        <w:rPr>
          <w:rFonts w:hint="eastAsia"/>
          <w:color w:val="auto"/>
          <w:sz w:val="24"/>
        </w:rPr>
        <w:t>第二部分 2021年度部门决算情况说明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一、收入支出决算总体情况说明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二、收入决算情况说明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三、支出决算情况说明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四、财政拨款收入支出决算总体情况说明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五、一般公共预算财政拨款支出决算情况说明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六、一般公共预算财政拨款基本支出决算情况说明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七、“三公”经费财政拨款支出决算情况说明</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color w:val="auto"/>
          <w:sz w:val="24"/>
        </w:rPr>
        <w:t>八、政府性基金预算支出决算情况说明</w:t>
      </w:r>
    </w:p>
    <w:p>
      <w:pPr>
        <w:pStyle w:val="13"/>
        <w:pageBreakBefore w:val="0"/>
        <w:kinsoku/>
        <w:wordWrap/>
        <w:overflowPunct/>
        <w:topLinePunct w:val="0"/>
        <w:bidi w:val="0"/>
        <w:adjustRightInd w:val="0"/>
        <w:snapToGrid w:val="0"/>
        <w:spacing w:line="578" w:lineRule="exact"/>
        <w:ind w:leftChars="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九、国有资本经营预算支出决算情况说明</w:t>
      </w:r>
    </w:p>
    <w:p>
      <w:pPr>
        <w:pageBreakBefore w:val="0"/>
        <w:kinsoku/>
        <w:wordWrap/>
        <w:overflowPunct/>
        <w:topLinePunct w:val="0"/>
        <w:bidi w:val="0"/>
        <w:adjustRightInd w:val="0"/>
        <w:snapToGrid w:val="0"/>
        <w:spacing w:line="578" w:lineRule="exact"/>
        <w:ind w:firstLine="420" w:firstLineChars="175"/>
        <w:jc w:val="left"/>
        <w:rPr>
          <w:rFonts w:asciiTheme="minorEastAsia" w:hAnsiTheme="minorEastAsia" w:eastAsiaTheme="minorEastAsia" w:cstheme="minorEastAsia"/>
          <w:color w:val="auto"/>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color w:val="auto"/>
          <w:sz w:val="24"/>
        </w:rPr>
        <w:t>其他重要事项的情况说明</w:t>
      </w:r>
      <w:r>
        <w:rPr>
          <w:rFonts w:hint="eastAsia" w:asciiTheme="minorEastAsia" w:hAnsiTheme="minorEastAsia" w:eastAsiaTheme="minorEastAsia" w:cstheme="minorEastAsia"/>
          <w:color w:val="auto"/>
          <w:sz w:val="24"/>
        </w:rPr>
        <w:tab/>
      </w:r>
    </w:p>
    <w:p>
      <w:pPr>
        <w:pStyle w:val="12"/>
        <w:pageBreakBefore w:val="0"/>
        <w:kinsoku/>
        <w:wordWrap/>
        <w:overflowPunct/>
        <w:topLinePunct w:val="0"/>
        <w:bidi w:val="0"/>
        <w:adjustRightInd w:val="0"/>
        <w:snapToGrid w:val="0"/>
        <w:spacing w:before="0" w:line="578" w:lineRule="exact"/>
        <w:jc w:val="left"/>
        <w:rPr>
          <w:rFonts w:cstheme="minorBidi"/>
          <w:color w:val="auto"/>
          <w:sz w:val="24"/>
          <w:szCs w:val="24"/>
        </w:rPr>
      </w:pPr>
      <w:r>
        <w:rPr>
          <w:rFonts w:hint="eastAsia"/>
          <w:color w:val="auto"/>
          <w:sz w:val="24"/>
        </w:rPr>
        <w:t>第三部分名词解释</w:t>
      </w:r>
    </w:p>
    <w:p>
      <w:pPr>
        <w:pStyle w:val="12"/>
        <w:pageBreakBefore w:val="0"/>
        <w:kinsoku/>
        <w:wordWrap/>
        <w:overflowPunct/>
        <w:topLinePunct w:val="0"/>
        <w:bidi w:val="0"/>
        <w:adjustRightInd w:val="0"/>
        <w:snapToGrid w:val="0"/>
        <w:spacing w:before="0" w:line="578" w:lineRule="exact"/>
        <w:jc w:val="left"/>
        <w:rPr>
          <w:rFonts w:cstheme="minorBidi"/>
          <w:color w:val="auto"/>
          <w:sz w:val="24"/>
          <w:szCs w:val="24"/>
        </w:rPr>
      </w:pPr>
      <w:r>
        <w:rPr>
          <w:rFonts w:hint="eastAsia"/>
          <w:color w:val="auto"/>
          <w:sz w:val="24"/>
        </w:rPr>
        <w:t>第四部分附件</w:t>
      </w:r>
    </w:p>
    <w:p>
      <w:pPr>
        <w:pStyle w:val="12"/>
        <w:pageBreakBefore w:val="0"/>
        <w:kinsoku/>
        <w:wordWrap/>
        <w:overflowPunct/>
        <w:topLinePunct w:val="0"/>
        <w:bidi w:val="0"/>
        <w:adjustRightInd w:val="0"/>
        <w:snapToGrid w:val="0"/>
        <w:spacing w:before="0" w:line="578" w:lineRule="exact"/>
        <w:jc w:val="left"/>
        <w:rPr>
          <w:rFonts w:cstheme="minorBidi"/>
          <w:color w:val="auto"/>
          <w:sz w:val="24"/>
          <w:szCs w:val="24"/>
        </w:rPr>
      </w:pPr>
      <w:r>
        <w:rPr>
          <w:rFonts w:hint="eastAsia"/>
          <w:color w:val="auto"/>
          <w:sz w:val="24"/>
        </w:rPr>
        <w:t>第五部分附表</w:t>
      </w:r>
    </w:p>
    <w:p>
      <w:pPr>
        <w:pStyle w:val="13"/>
        <w:pageBreakBefore w:val="0"/>
        <w:kinsoku/>
        <w:wordWrap/>
        <w:overflowPunct/>
        <w:topLinePunct w:val="0"/>
        <w:bidi w:val="0"/>
        <w:adjustRightInd w:val="0"/>
        <w:snapToGrid w:val="0"/>
        <w:spacing w:line="578" w:lineRule="exact"/>
        <w:jc w:val="left"/>
        <w:rPr>
          <w:rFonts w:ascii="仿宋" w:hAnsi="仿宋" w:eastAsia="仿宋" w:cstheme="minorBidi"/>
          <w:color w:val="auto"/>
          <w:sz w:val="24"/>
        </w:rPr>
      </w:pPr>
      <w:r>
        <w:rPr>
          <w:rFonts w:hint="eastAsia" w:ascii="仿宋" w:hAnsi="仿宋" w:eastAsia="仿宋"/>
          <w:color w:val="auto"/>
          <w:sz w:val="24"/>
        </w:rPr>
        <w:t>一、</w:t>
      </w:r>
      <w:r>
        <w:rPr>
          <w:rFonts w:hint="eastAsia"/>
          <w:color w:val="auto"/>
          <w:sz w:val="24"/>
        </w:rPr>
        <w:t>收入支出决算总表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二、收入决算表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四、财政拨款收入支出决算总表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五、财政拨款支出决算明细表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六、一般公共预算财政拨款支出决算表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七、一般公共预算财政拨款支出决算明细表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八、一般公共预算财政拨款基本支出决算表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九、一般公共预算财政拨款项目支出决算表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十、一般公共预算财政拨款“三公”经费支出决算表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十一、政府性基金预算财政拨款收入支出决算表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十二、政府性基金预算财政拨款“三公”经费支出决算表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十三、国有资本经营预算财政拨款收入支出决算表</w:t>
      </w:r>
    </w:p>
    <w:p>
      <w:pPr>
        <w:pStyle w:val="13"/>
        <w:pageBreakBefore w:val="0"/>
        <w:kinsoku/>
        <w:wordWrap/>
        <w:overflowPunct/>
        <w:topLinePunct w:val="0"/>
        <w:bidi w:val="0"/>
        <w:adjustRightInd w:val="0"/>
        <w:snapToGrid w:val="0"/>
        <w:spacing w:line="578"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十四、国有资本经营预算财政拨款支出决算表</w:t>
      </w:r>
    </w:p>
    <w:p>
      <w:pPr>
        <w:pageBreakBefore w:val="0"/>
        <w:widowControl/>
        <w:kinsoku/>
        <w:wordWrap/>
        <w:overflowPunct/>
        <w:topLinePunct w:val="0"/>
        <w:bidi w:val="0"/>
        <w:adjustRightInd w:val="0"/>
        <w:snapToGrid w:val="0"/>
        <w:spacing w:line="578" w:lineRule="exact"/>
        <w:ind w:firstLine="1320" w:firstLineChars="550"/>
        <w:jc w:val="left"/>
        <w:rPr>
          <w:rFonts w:ascii="仿宋" w:hAnsi="仿宋" w:eastAsia="仿宋"/>
          <w:color w:val="auto"/>
          <w:sz w:val="24"/>
        </w:rPr>
      </w:pPr>
      <w:r>
        <w:rPr>
          <w:rFonts w:ascii="仿宋" w:hAnsi="仿宋" w:eastAsia="仿宋"/>
          <w:color w:val="auto"/>
          <w:sz w:val="24"/>
        </w:rPr>
        <w:t>(注：</w:t>
      </w:r>
      <w:r>
        <w:rPr>
          <w:rFonts w:hint="eastAsia" w:ascii="仿宋" w:hAnsi="仿宋" w:eastAsia="仿宋"/>
          <w:color w:val="auto"/>
          <w:sz w:val="24"/>
        </w:rPr>
        <w:t>请部门根据实际注明页码</w:t>
      </w:r>
      <w:r>
        <w:rPr>
          <w:rFonts w:ascii="仿宋" w:hAnsi="仿宋" w:eastAsia="仿宋"/>
          <w:color w:val="auto"/>
          <w:sz w:val="24"/>
        </w:rPr>
        <w:t>)</w:t>
      </w:r>
    </w:p>
    <w:p>
      <w:pPr>
        <w:pageBreakBefore w:val="0"/>
        <w:widowControl/>
        <w:kinsoku/>
        <w:wordWrap/>
        <w:overflowPunct/>
        <w:topLinePunct w:val="0"/>
        <w:bidi w:val="0"/>
        <w:spacing w:line="578" w:lineRule="exact"/>
        <w:jc w:val="left"/>
        <w:rPr>
          <w:rFonts w:ascii="仿宋" w:hAnsi="仿宋" w:eastAsia="仿宋"/>
          <w:bCs/>
          <w:color w:val="auto"/>
          <w:kern w:val="44"/>
          <w:sz w:val="24"/>
        </w:rPr>
      </w:pPr>
      <w:bookmarkStart w:id="12" w:name="_Toc15377196"/>
      <w:bookmarkStart w:id="13" w:name="_Toc15396599"/>
      <w:r>
        <w:rPr>
          <w:rFonts w:ascii="仿宋" w:hAnsi="仿宋" w:eastAsia="仿宋"/>
          <w:b/>
          <w:color w:val="auto"/>
          <w:sz w:val="24"/>
        </w:rPr>
        <w:br w:type="page"/>
      </w:r>
    </w:p>
    <w:p>
      <w:pPr>
        <w:pStyle w:val="3"/>
        <w:pageBreakBefore w:val="0"/>
        <w:kinsoku/>
        <w:wordWrap/>
        <w:overflowPunct/>
        <w:topLinePunct w:val="0"/>
        <w:autoSpaceDE/>
        <w:autoSpaceDN/>
        <w:bidi w:val="0"/>
        <w:adjustRightInd/>
        <w:snapToGrid/>
        <w:spacing w:before="0" w:after="0" w:line="578" w:lineRule="exact"/>
        <w:jc w:val="center"/>
        <w:textAlignment w:val="auto"/>
        <w:rPr>
          <w:rStyle w:val="27"/>
          <w:rFonts w:ascii="黑体" w:hAnsi="黑体" w:eastAsia="黑体"/>
          <w:b/>
          <w:bCs w:val="0"/>
          <w:color w:val="auto"/>
        </w:rPr>
      </w:pPr>
      <w:r>
        <w:rPr>
          <w:rFonts w:hint="eastAsia" w:ascii="黑体" w:hAnsi="黑体" w:eastAsia="黑体"/>
          <w:b w:val="0"/>
          <w:color w:val="auto"/>
        </w:rPr>
        <w:t xml:space="preserve">第一部分 </w:t>
      </w:r>
      <w:r>
        <w:rPr>
          <w:rStyle w:val="27"/>
          <w:rFonts w:hint="eastAsia" w:ascii="黑体" w:hAnsi="黑体" w:eastAsia="黑体"/>
          <w:b w:val="0"/>
          <w:bCs w:val="0"/>
          <w:color w:val="auto"/>
        </w:rPr>
        <w:t>部门概况</w:t>
      </w:r>
      <w:bookmarkEnd w:id="12"/>
      <w:bookmarkEnd w:id="13"/>
    </w:p>
    <w:p>
      <w:pPr>
        <w:pStyle w:val="4"/>
        <w:pageBreakBefore w:val="0"/>
        <w:numPr>
          <w:ilvl w:val="0"/>
          <w:numId w:val="1"/>
        </w:numPr>
        <w:kinsoku/>
        <w:wordWrap/>
        <w:overflowPunct/>
        <w:topLinePunct w:val="0"/>
        <w:autoSpaceDE/>
        <w:autoSpaceDN/>
        <w:bidi w:val="0"/>
        <w:adjustRightInd/>
        <w:snapToGrid/>
        <w:spacing w:before="0" w:after="0" w:line="578" w:lineRule="exact"/>
        <w:textAlignment w:val="auto"/>
        <w:rPr>
          <w:rStyle w:val="28"/>
          <w:rFonts w:hint="eastAsia" w:ascii="黑体" w:hAnsi="黑体" w:eastAsia="黑体"/>
          <w:b w:val="0"/>
          <w:bCs w:val="0"/>
          <w:color w:val="auto"/>
        </w:rPr>
      </w:pPr>
      <w:bookmarkStart w:id="14" w:name="_Toc15377197"/>
      <w:bookmarkStart w:id="15" w:name="_Toc15396600"/>
      <w:r>
        <w:rPr>
          <w:rFonts w:hint="eastAsia" w:ascii="黑体" w:hAnsi="黑体" w:eastAsia="黑体"/>
          <w:b w:val="0"/>
          <w:color w:val="auto"/>
        </w:rPr>
        <w:t>基</w:t>
      </w:r>
      <w:r>
        <w:rPr>
          <w:rStyle w:val="28"/>
          <w:rFonts w:hint="eastAsia" w:ascii="黑体" w:hAnsi="黑体" w:eastAsia="黑体"/>
          <w:b w:val="0"/>
          <w:bCs w:val="0"/>
          <w:color w:val="auto"/>
        </w:rPr>
        <w:t>本职能及主要工作</w:t>
      </w:r>
      <w:bookmarkEnd w:id="14"/>
      <w:bookmarkEnd w:id="15"/>
      <w:bookmarkStart w:id="16" w:name="_Toc15377198"/>
      <w:bookmarkStart w:id="17" w:name="_Toc15378445"/>
    </w:p>
    <w:p>
      <w:pPr>
        <w:pStyle w:val="4"/>
        <w:pageBreakBefore w:val="0"/>
        <w:numPr>
          <w:ilvl w:val="0"/>
          <w:numId w:val="0"/>
        </w:numPr>
        <w:kinsoku/>
        <w:wordWrap/>
        <w:overflowPunct/>
        <w:topLinePunct w:val="0"/>
        <w:autoSpaceDE/>
        <w:autoSpaceDN/>
        <w:bidi w:val="0"/>
        <w:adjustRightInd/>
        <w:snapToGrid/>
        <w:spacing w:before="0" w:after="0" w:line="578" w:lineRule="exact"/>
        <w:ind w:firstLine="643" w:firstLineChars="200"/>
        <w:textAlignment w:val="auto"/>
        <w:rPr>
          <w:rFonts w:hint="eastAsia" w:ascii="仿宋" w:hAnsi="仿宋" w:eastAsia="仿宋"/>
          <w:bCs/>
          <w:color w:val="auto"/>
          <w:sz w:val="32"/>
          <w:szCs w:val="32"/>
        </w:rPr>
      </w:pPr>
      <w:r>
        <w:rPr>
          <w:rFonts w:hint="eastAsia" w:ascii="仿宋" w:hAnsi="仿宋" w:eastAsia="仿宋"/>
          <w:bCs/>
          <w:color w:val="auto"/>
          <w:sz w:val="32"/>
          <w:szCs w:val="32"/>
        </w:rPr>
        <w:t>（一）主要职能。</w:t>
      </w:r>
      <w:bookmarkEnd w:id="16"/>
      <w:bookmarkEnd w:id="17"/>
    </w:p>
    <w:p>
      <w:pPr>
        <w:pStyle w:val="14"/>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仿宋" w:hAnsi="仿宋" w:eastAsia="仿宋"/>
          <w:bCs/>
          <w:color w:val="auto"/>
          <w:sz w:val="32"/>
          <w:szCs w:val="32"/>
        </w:rPr>
      </w:pPr>
      <w:r>
        <w:rPr>
          <w:rFonts w:hint="eastAsia" w:ascii="仿宋_GB2312" w:hAnsi="仿宋_GB2312" w:eastAsia="仿宋_GB2312" w:cs="仿宋_GB2312"/>
          <w:color w:val="auto"/>
          <w:kern w:val="2"/>
          <w:sz w:val="32"/>
          <w:szCs w:val="32"/>
        </w:rPr>
        <w:t>泸县工商业联合会是在县委、县政府领导下具有统战性、经济性、民间性的群众团体和民间商会，参与政治协商，发挥民主监督的作用；负责工商界代表人士政治安排的推荐工作；引导会员积极参加国家经济建设；做好非公有制经济代表人士的思想政治工作，团结、帮助、引导、教育会员遵守国家的法律、法规和政策，提高会员素质，培养积极分子队伍；代表并维护会员的合法权益，反映会员的意见、要求和建议；为会员提供信息和科技、管理、法律、会计、审计、融资、咨询等服务。</w:t>
      </w:r>
    </w:p>
    <w:p>
      <w:pPr>
        <w:pStyle w:val="7"/>
        <w:pageBreakBefore w:val="0"/>
        <w:kinsoku/>
        <w:wordWrap/>
        <w:overflowPunct/>
        <w:topLinePunct w:val="0"/>
        <w:bidi w:val="0"/>
        <w:adjustRightInd w:val="0"/>
        <w:snapToGrid w:val="0"/>
        <w:spacing w:before="93" w:line="578" w:lineRule="exact"/>
        <w:ind w:firstLine="675" w:firstLineChars="210"/>
        <w:outlineLvl w:val="2"/>
        <w:rPr>
          <w:rFonts w:hint="eastAsia" w:ascii="仿宋" w:hAnsi="仿宋" w:eastAsia="仿宋" w:cstheme="majorBidi"/>
          <w:b/>
          <w:bCs/>
          <w:color w:val="auto"/>
          <w:kern w:val="2"/>
          <w:sz w:val="32"/>
          <w:szCs w:val="32"/>
          <w:lang w:val="en-US" w:eastAsia="zh-CN" w:bidi="ar-SA"/>
        </w:rPr>
      </w:pPr>
      <w:bookmarkStart w:id="18" w:name="_Toc15377199"/>
      <w:bookmarkStart w:id="19" w:name="_Toc15378446"/>
      <w:r>
        <w:rPr>
          <w:rFonts w:hint="eastAsia" w:ascii="仿宋" w:hAnsi="仿宋" w:eastAsia="仿宋" w:cstheme="majorBidi"/>
          <w:b/>
          <w:bCs/>
          <w:color w:val="auto"/>
          <w:kern w:val="2"/>
          <w:sz w:val="32"/>
          <w:szCs w:val="32"/>
          <w:lang w:val="en-US" w:eastAsia="zh-CN" w:bidi="ar-SA"/>
        </w:rPr>
        <w:t>（二）2021年重点工作完成情况。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1.政治引领有高度，做到方向正、信念稳、人心齐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牢牢把握思想政治工作这条生命线，在实践中创新</w:t>
      </w:r>
      <w:r>
        <w:rPr>
          <w:rFonts w:hint="eastAsia" w:ascii="仿宋_GB2312" w:hAnsi="仿宋_GB2312" w:eastAsia="仿宋_GB2312" w:cs="仿宋_GB2312"/>
          <w:color w:val="auto"/>
          <w:kern w:val="2"/>
          <w:sz w:val="32"/>
          <w:szCs w:val="32"/>
          <w:lang w:val="en-US" w:eastAsia="zh-CN" w:bidi="ar-SA"/>
        </w:rPr>
        <w:t>工作</w:t>
      </w:r>
      <w:r>
        <w:rPr>
          <w:rFonts w:hint="default" w:ascii="仿宋_GB2312" w:hAnsi="仿宋_GB2312" w:eastAsia="仿宋_GB2312" w:cs="仿宋_GB2312"/>
          <w:color w:val="auto"/>
          <w:kern w:val="2"/>
          <w:sz w:val="32"/>
          <w:szCs w:val="32"/>
          <w:lang w:val="en-US" w:eastAsia="zh-CN" w:bidi="ar-SA"/>
        </w:rPr>
        <w:t>方式，发挥教育引导功能，引导民营经济人士不断增进对中国共产党和中国特色社会主义的政治认同、思想认同、情感认同。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深入开展党史学习教育，不断强化思想政治引领。坚持把党史学习教育和推动“十四五”规划重点任务、贯彻新发展理念、谋划当前中心工作相结合，推动党史学习教育在机关、直属商会、民营企业中走深走实。坚定以习近平新时代中国特色社会主义思想为引领，学习贯彻党的十九届六中全会、省委十一届九次全会、市委八届十一次全会、县委十三届十三次全会精神，团结带领广大民营经济人士全力拼搏、创新实干、开拓进取。结合党史学习教育，泸县工商联（总商会）和直属商会、广大民营企业共举办各类集中学习、宣讲和主题党日活动50余场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扎实开展理想信念教育，着力巩固代表人士工作。泸县工商联积极组织全县非公有制经济人士、年轻一代民营企业家参加省、市、县民营经济人士理想信念教育培训班。组织刘智能、王平、周宗国等20余名非公有制经济代表人士赴广安、映秀、古蔺太平及市委党校等开展理想信念教育学习活动，深入学习习近平新时代中国特色社会主义思想，感悟家国情怀、砥砺实业初心、汲取奋进力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加强商会班子培养，深入推进商会能力提升。积极发挥商会主阵地作用，坚持以提升商会工作能力为出发点，不断扩大服务领域、提高服务水平，以创建“四好”商会为抓手，充分发挥所属商会在调查研究、社会治理、党的建设、经济服务、行业自律、政企对接、慈善捐赠、交流联谊等方面的积极作用。以年轻化、职业化、专业化为导向，进一步加强商会领导班子队伍建设，商会履职能力实现新提升。泸县工商联（总商会）完成换届，选举产生新一届执委会班子。泸县总商会、云龙商会、工商联嘉明分会、泸东商会被市工商联确认为“四好商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bookmarkStart w:id="73" w:name="_GoBack"/>
      <w:bookmarkEnd w:id="73"/>
      <w:r>
        <w:rPr>
          <w:rFonts w:hint="eastAsia" w:ascii="仿宋_GB2312" w:hAnsi="仿宋_GB2312" w:eastAsia="仿宋_GB2312" w:cs="仿宋_GB2312"/>
          <w:color w:val="auto"/>
          <w:kern w:val="2"/>
          <w:sz w:val="32"/>
          <w:szCs w:val="32"/>
          <w:lang w:val="en-US" w:eastAsia="zh-CN" w:bidi="ar-SA"/>
        </w:rPr>
        <w:t>.党建工作有深度，做到覆盖广、责任清、示范强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注重把党建引领融入自身改革发展、所属商会建设、</w:t>
      </w:r>
      <w:r>
        <w:rPr>
          <w:rFonts w:hint="eastAsia" w:ascii="仿宋_GB2312" w:hAnsi="仿宋_GB2312" w:eastAsia="仿宋_GB2312" w:cs="仿宋_GB2312"/>
          <w:color w:val="auto"/>
          <w:kern w:val="2"/>
          <w:sz w:val="32"/>
          <w:szCs w:val="32"/>
          <w:lang w:val="en-US" w:eastAsia="zh-CN" w:bidi="ar-SA"/>
        </w:rPr>
        <w:t>民企健康成长</w:t>
      </w:r>
      <w:r>
        <w:rPr>
          <w:rFonts w:hint="default" w:ascii="仿宋_GB2312" w:hAnsi="仿宋_GB2312" w:eastAsia="仿宋_GB2312" w:cs="仿宋_GB2312"/>
          <w:color w:val="auto"/>
          <w:kern w:val="2"/>
          <w:sz w:val="32"/>
          <w:szCs w:val="32"/>
          <w:lang w:val="en-US" w:eastAsia="zh-CN" w:bidi="ar-SA"/>
        </w:rPr>
        <w:t>等工作中，着力破解工作难点问题，切实将党组织延伸到底，治理路径畅通到底，服务触角覆盖到底</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为推动</w:t>
      </w:r>
      <w:r>
        <w:rPr>
          <w:rFonts w:hint="eastAsia" w:ascii="仿宋_GB2312" w:hAnsi="仿宋_GB2312" w:eastAsia="仿宋_GB2312" w:cs="仿宋_GB2312"/>
          <w:color w:val="auto"/>
          <w:kern w:val="2"/>
          <w:sz w:val="32"/>
          <w:szCs w:val="32"/>
          <w:lang w:val="en-US" w:eastAsia="zh-CN" w:bidi="ar-SA"/>
        </w:rPr>
        <w:t>全县</w:t>
      </w:r>
      <w:r>
        <w:rPr>
          <w:rFonts w:hint="default" w:ascii="仿宋_GB2312" w:hAnsi="仿宋_GB2312" w:eastAsia="仿宋_GB2312" w:cs="仿宋_GB2312"/>
          <w:color w:val="auto"/>
          <w:kern w:val="2"/>
          <w:sz w:val="32"/>
          <w:szCs w:val="32"/>
          <w:lang w:val="en-US" w:eastAsia="zh-CN" w:bidi="ar-SA"/>
        </w:rPr>
        <w:t>民营经济高质量发展提供坚强组织保证。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（1）加快县域非公企业党组织的建立和工作覆盖。</w:t>
      </w:r>
      <w:r>
        <w:rPr>
          <w:rFonts w:hint="default" w:ascii="仿宋_GB2312" w:hAnsi="仿宋_GB2312" w:eastAsia="仿宋_GB2312" w:cs="仿宋_GB2312"/>
          <w:color w:val="auto"/>
          <w:kern w:val="2"/>
          <w:sz w:val="32"/>
          <w:szCs w:val="32"/>
          <w:lang w:val="en-US" w:eastAsia="zh-CN" w:bidi="ar-SA"/>
        </w:rPr>
        <w:t>贯彻“信任、团结、服务、引导、教育”方针，紧扣“两个健康”工作主题，把非公企业党建工作摆在突出位置</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着力抓好商务楼宇、园区、商圈市场等党组织组建力度。全县现有非公企业党组织180个，覆盖规模以上企业218家，</w:t>
      </w:r>
      <w:r>
        <w:rPr>
          <w:rFonts w:hint="eastAsia" w:ascii="仿宋_GB2312" w:hAnsi="仿宋_GB2312" w:eastAsia="仿宋_GB2312" w:cs="仿宋_GB2312"/>
          <w:color w:val="auto"/>
          <w:kern w:val="2"/>
          <w:sz w:val="32"/>
          <w:szCs w:val="32"/>
          <w:lang w:val="en-US" w:eastAsia="zh-CN" w:bidi="ar-SA"/>
        </w:rPr>
        <w:t>党组织覆盖</w:t>
      </w:r>
      <w:r>
        <w:rPr>
          <w:rFonts w:hint="default" w:ascii="仿宋_GB2312" w:hAnsi="仿宋_GB2312" w:eastAsia="仿宋_GB2312" w:cs="仿宋_GB2312"/>
          <w:color w:val="auto"/>
          <w:kern w:val="2"/>
          <w:sz w:val="32"/>
          <w:szCs w:val="32"/>
          <w:lang w:val="en-US" w:eastAsia="zh-CN" w:bidi="ar-SA"/>
        </w:rPr>
        <w:t>率达100%，非公企业党员1130人</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在异地泸州商会建立党支部9个和人才工作站9个</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扩大了党组织在民营企业的覆盖面，进一步增强党在民营经济领域的执政基础。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以党建引领企业文化建设。通过举办读书分享会、庆祝纪念活动、非公经济文艺汇演、系列公开课等丰富多彩的文化活动，增强民营企业家的政策获得感、企业员工的组织存在感、企业党员的组织归属感和社会各界的认同感，涌现出园区“商务楼宇党建+统战”、科瑞德、景宏实业集团、龙城商会、云龙商会等一系列党建品牌。四川景宏事业集团有限公司被四川省工商联设立为四川省民营企业党建工作示范点，公司行政总监王希园获优秀共产党员。泸县云龙商会功能性党支部、四川泸州万福商贸有限公司党支部获泸县先进基层党组织称号，刘智能荣获泸州市抗击新冠肺炎疫情优秀共产党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（3）加强工商联所属商会党建工作。</w:t>
      </w:r>
      <w:r>
        <w:rPr>
          <w:rFonts w:hint="default" w:ascii="仿宋_GB2312" w:hAnsi="仿宋_GB2312" w:eastAsia="仿宋_GB2312" w:cs="仿宋_GB2312"/>
          <w:color w:val="auto"/>
          <w:kern w:val="2"/>
          <w:sz w:val="32"/>
          <w:szCs w:val="32"/>
          <w:lang w:val="en-US" w:eastAsia="zh-CN" w:bidi="ar-SA"/>
        </w:rPr>
        <w:t>深入贯彻落实党中央颁布的《关于加强新时代民营经济统战工作的意见》和《关于促进工商联所属商会改革和发展的实施意见》精神，着眼于推动统战工作向商会组织有效覆盖，不断探索完善工商联所属商会党建工作的有效机制。指导</w:t>
      </w:r>
      <w:r>
        <w:rPr>
          <w:rFonts w:hint="eastAsia" w:ascii="仿宋_GB2312" w:hAnsi="仿宋_GB2312" w:eastAsia="仿宋_GB2312" w:cs="仿宋_GB2312"/>
          <w:color w:val="auto"/>
          <w:kern w:val="2"/>
          <w:sz w:val="32"/>
          <w:szCs w:val="32"/>
          <w:lang w:val="en-US" w:eastAsia="zh-CN" w:bidi="ar-SA"/>
        </w:rPr>
        <w:t>直属商会</w:t>
      </w:r>
      <w:r>
        <w:rPr>
          <w:rFonts w:hint="default" w:ascii="仿宋_GB2312" w:hAnsi="仿宋_GB2312" w:eastAsia="仿宋_GB2312" w:cs="仿宋_GB2312"/>
          <w:color w:val="auto"/>
          <w:kern w:val="2"/>
          <w:sz w:val="32"/>
          <w:szCs w:val="32"/>
          <w:lang w:val="en-US" w:eastAsia="zh-CN" w:bidi="ar-SA"/>
        </w:rPr>
        <w:t>进一步优化组织设置，丰富活动形式，提高党建质量</w:t>
      </w:r>
      <w:r>
        <w:rPr>
          <w:rFonts w:hint="eastAsia" w:ascii="仿宋_GB2312" w:hAnsi="仿宋_GB2312" w:eastAsia="仿宋_GB2312" w:cs="仿宋_GB2312"/>
          <w:color w:val="auto"/>
          <w:kern w:val="2"/>
          <w:sz w:val="32"/>
          <w:szCs w:val="32"/>
          <w:lang w:val="en-US" w:eastAsia="zh-CN" w:bidi="ar-SA"/>
        </w:rPr>
        <w:t>，6个直属商会成立党组织，泸东商会党支部正在筹建中</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向6个直属商会及异地商会党组织划拨2020年度社会组织党建工作补助经费4.85万元。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3.助力服务有维度，做到桥梁畅、纽带紧、助力足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坚持把提升服务质量、建立长效机制作为促进全</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民营经济健康发展的主要抓手，持续优化营商环境，为民营企业打造公平竞争环境，给民营企业</w:t>
      </w:r>
      <w:r>
        <w:rPr>
          <w:rFonts w:hint="eastAsia" w:ascii="仿宋_GB2312" w:hAnsi="仿宋_GB2312" w:eastAsia="仿宋_GB2312" w:cs="仿宋_GB2312"/>
          <w:color w:val="auto"/>
          <w:kern w:val="2"/>
          <w:sz w:val="32"/>
          <w:szCs w:val="32"/>
          <w:lang w:val="en-US" w:eastAsia="zh-CN" w:bidi="ar-SA"/>
        </w:rPr>
        <w:t>健康</w:t>
      </w:r>
      <w:r>
        <w:rPr>
          <w:rFonts w:hint="default" w:ascii="仿宋_GB2312" w:hAnsi="仿宋_GB2312" w:eastAsia="仿宋_GB2312" w:cs="仿宋_GB2312"/>
          <w:color w:val="auto"/>
          <w:kern w:val="2"/>
          <w:sz w:val="32"/>
          <w:szCs w:val="32"/>
          <w:lang w:val="en-US" w:eastAsia="zh-CN" w:bidi="ar-SA"/>
        </w:rPr>
        <w:t>发展创造充足市场空间。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（1）搭建政企沟通渠道。一是搭建法律维权平台。加强与检察院、法院、司法局等部门合作，</w:t>
      </w:r>
      <w:r>
        <w:rPr>
          <w:rFonts w:hint="default" w:ascii="仿宋_GB2312" w:hAnsi="仿宋_GB2312" w:eastAsia="仿宋_GB2312" w:cs="仿宋_GB2312"/>
          <w:color w:val="auto"/>
          <w:kern w:val="2"/>
          <w:sz w:val="32"/>
          <w:szCs w:val="32"/>
          <w:lang w:val="en-US" w:eastAsia="zh-CN" w:bidi="ar-SA"/>
        </w:rPr>
        <w:t>为民营企业提供法律咨询服务，引导民营企业依法治企，不断提升企业应对各类法律风险的能力，切实维护企业产权保护权益</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与县司法局建立“万所联万会”合作机制，四川京泸、九狮律师事务所与商会签订合作协议，更好为商会服务。二是加强银商服务平台建设。泸县工商联与泸县邮储银行、工商银行、农商银行、泸州银行等签订战略合作协议，强化金融支撑体系，与金融部门开展常态化合作，加强对民营企业的金融支持，</w:t>
      </w:r>
      <w:r>
        <w:rPr>
          <w:rFonts w:hint="eastAsia" w:ascii="仿宋_GB2312" w:hAnsi="仿宋_GB2312" w:eastAsia="仿宋_GB2312" w:cs="仿宋_GB2312"/>
          <w:color w:val="auto"/>
          <w:kern w:val="2"/>
          <w:sz w:val="32"/>
          <w:szCs w:val="32"/>
          <w:lang w:val="en-US" w:eastAsia="zh-CN" w:bidi="ar-SA"/>
        </w:rPr>
        <w:t>2021年协助民营企业贷款31.62亿元，</w:t>
      </w:r>
      <w:r>
        <w:rPr>
          <w:rFonts w:hint="eastAsia" w:ascii="仿宋_GB2312" w:hAnsi="仿宋_GB2312" w:eastAsia="仿宋_GB2312" w:cs="仿宋_GB2312"/>
          <w:color w:val="auto"/>
          <w:kern w:val="2"/>
          <w:sz w:val="32"/>
          <w:szCs w:val="32"/>
          <w:lang w:val="zh-CN" w:eastAsia="zh-CN" w:bidi="ar-SA"/>
        </w:rPr>
        <w:t>6月工商联党组书记杨玲在全市金融服务民营经济高质量发展座谈会上作经验交流。三是</w:t>
      </w:r>
      <w:r>
        <w:rPr>
          <w:rFonts w:hint="default" w:ascii="仿宋_GB2312" w:hAnsi="仿宋_GB2312" w:eastAsia="仿宋_GB2312" w:cs="仿宋_GB2312"/>
          <w:color w:val="auto"/>
          <w:kern w:val="2"/>
          <w:sz w:val="32"/>
          <w:szCs w:val="32"/>
          <w:lang w:val="en-US" w:eastAsia="zh-CN" w:bidi="ar-SA"/>
        </w:rPr>
        <w:t>推动政企“双向沟通”。</w:t>
      </w:r>
      <w:r>
        <w:rPr>
          <w:rFonts w:hint="eastAsia" w:ascii="仿宋_GB2312" w:hAnsi="仿宋_GB2312" w:eastAsia="仿宋_GB2312" w:cs="仿宋_GB2312"/>
          <w:color w:val="auto"/>
          <w:kern w:val="2"/>
          <w:sz w:val="32"/>
          <w:szCs w:val="32"/>
          <w:lang w:val="en-US" w:eastAsia="zh-CN" w:bidi="ar-SA"/>
        </w:rPr>
        <w:t>县领导率调研小组深入园区、镇街</w:t>
      </w:r>
      <w:r>
        <w:rPr>
          <w:rFonts w:hint="default" w:ascii="仿宋_GB2312" w:hAnsi="仿宋_GB2312" w:eastAsia="仿宋_GB2312" w:cs="仿宋_GB2312"/>
          <w:color w:val="auto"/>
          <w:kern w:val="2"/>
          <w:sz w:val="32"/>
          <w:szCs w:val="32"/>
          <w:lang w:val="en-US" w:eastAsia="zh-CN" w:bidi="ar-SA"/>
        </w:rPr>
        <w:t>开展民营企业创新发展调研工作，</w:t>
      </w:r>
      <w:r>
        <w:rPr>
          <w:rFonts w:hint="eastAsia" w:ascii="仿宋_GB2312" w:hAnsi="仿宋_GB2312" w:eastAsia="仿宋_GB2312" w:cs="仿宋_GB2312"/>
          <w:color w:val="auto"/>
          <w:kern w:val="2"/>
          <w:sz w:val="32"/>
          <w:szCs w:val="32"/>
          <w:lang w:val="en-US" w:eastAsia="zh-CN" w:bidi="ar-SA"/>
        </w:rPr>
        <w:t>详细了解民营企业生产经营现状、发展困境与难题，引导企业健康发展</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（2）创新服务工作机制。坚持</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三</w:t>
      </w:r>
      <w:r>
        <w:rPr>
          <w:rFonts w:hint="default" w:ascii="仿宋_GB2312" w:hAnsi="仿宋_GB2312" w:eastAsia="仿宋_GB2312" w:cs="仿宋_GB2312"/>
          <w:color w:val="auto"/>
          <w:kern w:val="2"/>
          <w:sz w:val="32"/>
          <w:szCs w:val="32"/>
          <w:lang w:val="en-US" w:eastAsia="zh-CN" w:bidi="ar-SA"/>
        </w:rPr>
        <w:t>会</w:t>
      </w:r>
      <w:r>
        <w:rPr>
          <w:rFonts w:hint="eastAsia" w:ascii="仿宋_GB2312" w:hAnsi="仿宋_GB2312" w:eastAsia="仿宋_GB2312" w:cs="仿宋_GB2312"/>
          <w:color w:val="auto"/>
          <w:kern w:val="2"/>
          <w:sz w:val="32"/>
          <w:szCs w:val="32"/>
          <w:lang w:val="en-US" w:eastAsia="zh-CN" w:bidi="ar-SA"/>
        </w:rPr>
        <w:t>一评选</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制度</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通过开好</w:t>
      </w:r>
      <w:r>
        <w:rPr>
          <w:rFonts w:hint="default" w:ascii="仿宋_GB2312" w:hAnsi="仿宋_GB2312" w:eastAsia="仿宋_GB2312" w:cs="仿宋_GB2312"/>
          <w:color w:val="auto"/>
          <w:kern w:val="2"/>
          <w:sz w:val="32"/>
          <w:szCs w:val="32"/>
          <w:lang w:val="en-US" w:eastAsia="zh-CN" w:bidi="ar-SA"/>
        </w:rPr>
        <w:t>常委会、执委会</w:t>
      </w:r>
      <w:r>
        <w:rPr>
          <w:rFonts w:hint="eastAsia" w:ascii="仿宋_GB2312" w:hAnsi="仿宋_GB2312" w:eastAsia="仿宋_GB2312" w:cs="仿宋_GB2312"/>
          <w:color w:val="auto"/>
          <w:kern w:val="2"/>
          <w:sz w:val="32"/>
          <w:szCs w:val="32"/>
          <w:lang w:val="en-US" w:eastAsia="zh-CN" w:bidi="ar-SA"/>
        </w:rPr>
        <w:t>、直属商会工作会抓好</w:t>
      </w:r>
      <w:r>
        <w:rPr>
          <w:rFonts w:hint="default" w:ascii="仿宋_GB2312" w:hAnsi="仿宋_GB2312" w:eastAsia="仿宋_GB2312" w:cs="仿宋_GB2312"/>
          <w:color w:val="auto"/>
          <w:kern w:val="2"/>
          <w:sz w:val="32"/>
          <w:szCs w:val="32"/>
          <w:lang w:val="en-US" w:eastAsia="zh-CN" w:bidi="ar-SA"/>
        </w:rPr>
        <w:t>学习培训</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持续开展法律、金融、经贸、产业对接等方面的项目推介和政策解读。坚持每年“一评选”</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评选一批支持党建、参与中心工作、贡献社会的优秀企业家</w:t>
      </w:r>
      <w:r>
        <w:rPr>
          <w:rFonts w:hint="eastAsia" w:ascii="仿宋_GB2312" w:hAnsi="仿宋_GB2312" w:eastAsia="仿宋_GB2312" w:cs="仿宋_GB2312"/>
          <w:color w:val="auto"/>
          <w:kern w:val="2"/>
          <w:sz w:val="32"/>
          <w:szCs w:val="32"/>
          <w:lang w:val="en-US" w:eastAsia="zh-CN" w:bidi="ar-SA"/>
        </w:rPr>
        <w:t>，形成争优创先良好氛围，提升民企凝聚力</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zh-CN" w:eastAsia="zh-CN" w:bidi="ar-SA"/>
        </w:rPr>
        <w:t>争创全省新时代民营经济“两个健康”示范县，省工商联副主席</w:t>
      </w:r>
      <w:r>
        <w:rPr>
          <w:rFonts w:hint="eastAsia" w:ascii="仿宋_GB2312" w:hAnsi="仿宋_GB2312" w:eastAsia="仿宋_GB2312" w:cs="仿宋_GB2312"/>
          <w:color w:val="auto"/>
          <w:kern w:val="2"/>
          <w:sz w:val="32"/>
          <w:szCs w:val="32"/>
          <w:lang w:val="en-US" w:eastAsia="zh-CN" w:bidi="ar-SA"/>
        </w:rPr>
        <w:t>2次</w:t>
      </w:r>
      <w:r>
        <w:rPr>
          <w:rFonts w:hint="eastAsia" w:ascii="仿宋_GB2312" w:hAnsi="仿宋_GB2312" w:eastAsia="仿宋_GB2312" w:cs="仿宋_GB2312"/>
          <w:color w:val="auto"/>
          <w:kern w:val="2"/>
          <w:sz w:val="32"/>
          <w:szCs w:val="32"/>
          <w:lang w:val="zh-CN" w:eastAsia="zh-CN" w:bidi="ar-SA"/>
        </w:rPr>
        <w:t>赴泸县考察调研，对“两个健康”各项工作给予充分肯定。聘任泸县首批营商环境观察员24名，积极推动构建“亲”“清”政商关系，致力营造一流营商环境。持续扩大“工商联+N”效应，加强工商联同异地泸州商会、在外优秀人士沟通联系，深入开展招商引资、招才引智行动，协助引进国康药业公司投资5亿元，四川鼎润元生物科技有限公司投资2亿元。</w:t>
      </w:r>
    </w:p>
    <w:p>
      <w:pPr>
        <w:pStyle w:val="9"/>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（3）参政议政助力发展。</w:t>
      </w:r>
      <w:r>
        <w:rPr>
          <w:rFonts w:hint="default" w:ascii="仿宋_GB2312" w:hAnsi="仿宋_GB2312" w:eastAsia="仿宋_GB2312" w:cs="仿宋_GB2312"/>
          <w:color w:val="auto"/>
          <w:kern w:val="2"/>
          <w:sz w:val="32"/>
          <w:szCs w:val="32"/>
          <w:lang w:val="en-US" w:eastAsia="zh-CN" w:bidi="ar-SA"/>
        </w:rPr>
        <w:t>坚持“大走访、大调研”，深入民营企业和商会走访调研、座谈交流</w:t>
      </w:r>
      <w:r>
        <w:rPr>
          <w:rFonts w:hint="eastAsia" w:ascii="仿宋_GB2312" w:hAnsi="仿宋_GB2312" w:eastAsia="仿宋_GB2312" w:cs="仿宋_GB2312"/>
          <w:color w:val="auto"/>
          <w:kern w:val="2"/>
          <w:sz w:val="32"/>
          <w:szCs w:val="32"/>
          <w:lang w:val="en-US" w:eastAsia="zh-CN" w:bidi="ar-SA"/>
        </w:rPr>
        <w:t>30余</w:t>
      </w:r>
      <w:r>
        <w:rPr>
          <w:rFonts w:hint="eastAsia" w:ascii="仿宋_GB2312" w:hAnsi="仿宋_GB2312" w:eastAsia="仿宋_GB2312" w:cs="仿宋_GB2312"/>
          <w:color w:val="auto"/>
          <w:kern w:val="2"/>
          <w:sz w:val="32"/>
          <w:szCs w:val="32"/>
          <w:lang w:val="zh-CN" w:eastAsia="zh-CN" w:bidi="ar-SA"/>
        </w:rPr>
        <w:t>次</w:t>
      </w:r>
      <w:r>
        <w:rPr>
          <w:rFonts w:hint="default" w:ascii="仿宋_GB2312" w:hAnsi="仿宋_GB2312" w:eastAsia="仿宋_GB2312" w:cs="仿宋_GB2312"/>
          <w:color w:val="auto"/>
          <w:kern w:val="2"/>
          <w:sz w:val="32"/>
          <w:szCs w:val="32"/>
          <w:lang w:val="en-US" w:eastAsia="zh-CN" w:bidi="ar-SA"/>
        </w:rPr>
        <w:t>，广泛听取意见建议与诉求</w:t>
      </w:r>
      <w:r>
        <w:rPr>
          <w:rFonts w:hint="eastAsia" w:ascii="仿宋_GB2312" w:hAnsi="仿宋_GB2312" w:eastAsia="仿宋_GB2312" w:cs="仿宋_GB2312"/>
          <w:color w:val="auto"/>
          <w:kern w:val="2"/>
          <w:sz w:val="32"/>
          <w:szCs w:val="32"/>
          <w:lang w:val="en-US" w:eastAsia="zh-CN" w:bidi="ar-SA"/>
        </w:rPr>
        <w:t>，形成“我为群众办实事”项目清单24项，</w:t>
      </w:r>
      <w:r>
        <w:rPr>
          <w:rFonts w:hint="default" w:ascii="仿宋_GB2312" w:hAnsi="仿宋_GB2312" w:eastAsia="仿宋_GB2312" w:cs="仿宋_GB2312"/>
          <w:color w:val="auto"/>
          <w:kern w:val="2"/>
          <w:sz w:val="32"/>
          <w:szCs w:val="32"/>
          <w:lang w:val="en-US" w:eastAsia="zh-CN" w:bidi="ar-SA"/>
        </w:rPr>
        <w:t>定期梳理汇总民营企业</w:t>
      </w:r>
      <w:r>
        <w:rPr>
          <w:rFonts w:hint="eastAsia" w:ascii="仿宋_GB2312" w:hAnsi="仿宋_GB2312" w:eastAsia="仿宋_GB2312" w:cs="仿宋_GB2312"/>
          <w:color w:val="auto"/>
          <w:kern w:val="2"/>
          <w:sz w:val="32"/>
          <w:szCs w:val="32"/>
          <w:lang w:val="en-US" w:eastAsia="zh-CN" w:bidi="ar-SA"/>
        </w:rPr>
        <w:t>、群众</w:t>
      </w:r>
      <w:r>
        <w:rPr>
          <w:rFonts w:hint="default" w:ascii="仿宋_GB2312" w:hAnsi="仿宋_GB2312" w:eastAsia="仿宋_GB2312" w:cs="仿宋_GB2312"/>
          <w:color w:val="auto"/>
          <w:kern w:val="2"/>
          <w:sz w:val="32"/>
          <w:szCs w:val="32"/>
          <w:lang w:val="en-US" w:eastAsia="zh-CN" w:bidi="ar-SA"/>
        </w:rPr>
        <w:t>反映的问题建议，</w:t>
      </w:r>
      <w:r>
        <w:rPr>
          <w:rFonts w:hint="eastAsia" w:ascii="仿宋_GB2312" w:hAnsi="仿宋_GB2312" w:eastAsia="仿宋_GB2312" w:cs="仿宋_GB2312"/>
          <w:color w:val="auto"/>
          <w:kern w:val="2"/>
          <w:sz w:val="32"/>
          <w:szCs w:val="32"/>
          <w:lang w:val="zh-CN" w:eastAsia="zh-CN" w:bidi="ar-SA"/>
        </w:rPr>
        <w:t>协助解决海潮镇好又多超市办理营业执照、茂源陶瓷环保、民营企业落户园区等7个问题</w:t>
      </w:r>
      <w:r>
        <w:rPr>
          <w:rFonts w:hint="default" w:ascii="仿宋_GB2312" w:hAnsi="仿宋_GB2312" w:eastAsia="仿宋_GB2312" w:cs="仿宋_GB2312"/>
          <w:color w:val="auto"/>
          <w:kern w:val="2"/>
          <w:sz w:val="32"/>
          <w:szCs w:val="32"/>
          <w:lang w:val="en-US" w:eastAsia="zh-CN" w:bidi="ar-SA"/>
        </w:rPr>
        <w:t>。用好工商联执常委、</w:t>
      </w:r>
      <w:r>
        <w:rPr>
          <w:rFonts w:hint="eastAsia" w:ascii="仿宋_GB2312" w:hAnsi="仿宋_GB2312" w:eastAsia="仿宋_GB2312" w:cs="仿宋_GB2312"/>
          <w:color w:val="auto"/>
          <w:kern w:val="2"/>
          <w:sz w:val="32"/>
          <w:szCs w:val="32"/>
          <w:lang w:val="en-US" w:eastAsia="zh-CN" w:bidi="ar-SA"/>
        </w:rPr>
        <w:t>直属</w:t>
      </w:r>
      <w:r>
        <w:rPr>
          <w:rFonts w:hint="default" w:ascii="仿宋_GB2312" w:hAnsi="仿宋_GB2312" w:eastAsia="仿宋_GB2312" w:cs="仿宋_GB2312"/>
          <w:color w:val="auto"/>
          <w:kern w:val="2"/>
          <w:sz w:val="32"/>
          <w:szCs w:val="32"/>
          <w:lang w:val="en-US" w:eastAsia="zh-CN" w:bidi="ar-SA"/>
        </w:rPr>
        <w:t>商会</w:t>
      </w:r>
      <w:r>
        <w:rPr>
          <w:rFonts w:hint="eastAsia" w:ascii="仿宋_GB2312" w:hAnsi="仿宋_GB2312" w:eastAsia="仿宋_GB2312" w:cs="仿宋_GB2312"/>
          <w:color w:val="auto"/>
          <w:kern w:val="2"/>
          <w:sz w:val="32"/>
          <w:szCs w:val="32"/>
          <w:lang w:val="en-US" w:eastAsia="zh-CN" w:bidi="ar-SA"/>
        </w:rPr>
        <w:t>工作会</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推荐民营企业人士担任</w:t>
      </w:r>
      <w:r>
        <w:rPr>
          <w:rFonts w:hint="default" w:ascii="仿宋_GB2312" w:hAnsi="仿宋_GB2312" w:eastAsia="仿宋_GB2312" w:cs="仿宋_GB2312"/>
          <w:color w:val="auto"/>
          <w:kern w:val="2"/>
          <w:sz w:val="32"/>
          <w:szCs w:val="32"/>
          <w:lang w:val="en-US" w:eastAsia="zh-CN" w:bidi="ar-SA"/>
        </w:rPr>
        <w:t>政协委员</w:t>
      </w:r>
      <w:r>
        <w:rPr>
          <w:rFonts w:hint="eastAsia" w:ascii="仿宋_GB2312" w:hAnsi="仿宋_GB2312" w:eastAsia="仿宋_GB2312" w:cs="仿宋_GB2312"/>
          <w:color w:val="auto"/>
          <w:kern w:val="2"/>
          <w:sz w:val="32"/>
          <w:szCs w:val="32"/>
          <w:lang w:val="en-US" w:eastAsia="zh-CN" w:bidi="ar-SA"/>
        </w:rPr>
        <w:t>、人大代表</w:t>
      </w:r>
      <w:r>
        <w:rPr>
          <w:rFonts w:hint="default" w:ascii="仿宋_GB2312" w:hAnsi="仿宋_GB2312" w:eastAsia="仿宋_GB2312" w:cs="仿宋_GB2312"/>
          <w:color w:val="auto"/>
          <w:kern w:val="2"/>
          <w:sz w:val="32"/>
          <w:szCs w:val="32"/>
          <w:lang w:val="en-US" w:eastAsia="zh-CN" w:bidi="ar-SA"/>
        </w:rPr>
        <w:t>，引导民营经济人士通过合理渠道参政议政</w:t>
      </w:r>
      <w:r>
        <w:rPr>
          <w:rFonts w:hint="eastAsia" w:ascii="仿宋_GB2312" w:hAnsi="仿宋_GB2312" w:eastAsia="仿宋_GB2312" w:cs="仿宋_GB2312"/>
          <w:color w:val="auto"/>
          <w:kern w:val="2"/>
          <w:sz w:val="32"/>
          <w:szCs w:val="32"/>
          <w:lang w:val="en-US" w:eastAsia="zh-CN" w:bidi="ar-SA"/>
        </w:rPr>
        <w:t>。向市工商联、县政协提交集体提案16条，被县政协评为优秀提案5条；向市工商联、县政协上报社情民意30条，被市政协采用14条，</w:t>
      </w:r>
      <w:r>
        <w:rPr>
          <w:rFonts w:hint="default" w:ascii="仿宋_GB2312" w:hAnsi="仿宋_GB2312" w:eastAsia="仿宋_GB2312" w:cs="仿宋_GB2312"/>
          <w:color w:val="auto"/>
          <w:kern w:val="2"/>
          <w:sz w:val="32"/>
          <w:szCs w:val="32"/>
          <w:lang w:val="en-US" w:eastAsia="zh-CN" w:bidi="ar-SA"/>
        </w:rPr>
        <w:t>形成调研</w:t>
      </w:r>
      <w:r>
        <w:rPr>
          <w:rFonts w:hint="eastAsia" w:ascii="仿宋_GB2312" w:hAnsi="仿宋_GB2312" w:eastAsia="仿宋_GB2312" w:cs="仿宋_GB2312"/>
          <w:color w:val="auto"/>
          <w:kern w:val="2"/>
          <w:sz w:val="32"/>
          <w:szCs w:val="32"/>
          <w:lang w:val="en-US" w:eastAsia="zh-CN" w:bidi="ar-SA"/>
        </w:rPr>
        <w:t>文章《关于发挥商会作用助力招商工作的思考》《泸县县域民营经济发展报告》《关于我县优化营商环境工作情况的调研报告》3篇</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4.回馈社会有力度，做到联系密、行动快、爱心齐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组织</w:t>
      </w:r>
      <w:r>
        <w:rPr>
          <w:rFonts w:hint="default" w:ascii="仿宋_GB2312" w:hAnsi="仿宋_GB2312" w:eastAsia="仿宋_GB2312" w:cs="仿宋_GB2312"/>
          <w:color w:val="auto"/>
          <w:kern w:val="2"/>
          <w:sz w:val="32"/>
          <w:szCs w:val="32"/>
          <w:lang w:val="en-US" w:eastAsia="zh-CN" w:bidi="ar-SA"/>
        </w:rPr>
        <w:t>所属会员企业、商会在大战大考中砥砺忠诚，在服务大局中奋勇担当</w:t>
      </w:r>
      <w:r>
        <w:rPr>
          <w:rFonts w:hint="eastAsia" w:ascii="仿宋_GB2312" w:hAnsi="仿宋_GB2312" w:eastAsia="仿宋_GB2312" w:cs="仿宋_GB2312"/>
          <w:color w:val="auto"/>
          <w:kern w:val="2"/>
          <w:sz w:val="32"/>
          <w:szCs w:val="32"/>
          <w:lang w:val="en-US" w:eastAsia="zh-CN" w:bidi="ar-SA"/>
        </w:rPr>
        <w:t>，积极参与疫情防控和抗震救灾，</w:t>
      </w:r>
      <w:r>
        <w:rPr>
          <w:rFonts w:hint="default" w:ascii="仿宋_GB2312" w:hAnsi="仿宋_GB2312" w:eastAsia="仿宋_GB2312" w:cs="仿宋_GB2312"/>
          <w:color w:val="auto"/>
          <w:kern w:val="2"/>
          <w:sz w:val="32"/>
          <w:szCs w:val="32"/>
          <w:lang w:val="en-US" w:eastAsia="zh-CN" w:bidi="ar-SA"/>
        </w:rPr>
        <w:t>通过产业合作、消费扶贫、</w:t>
      </w:r>
      <w:r>
        <w:rPr>
          <w:rFonts w:hint="eastAsia" w:ascii="仿宋_GB2312" w:hAnsi="仿宋_GB2312" w:eastAsia="仿宋_GB2312" w:cs="仿宋_GB2312"/>
          <w:color w:val="auto"/>
          <w:kern w:val="2"/>
          <w:sz w:val="32"/>
          <w:szCs w:val="32"/>
          <w:lang w:val="en-US" w:eastAsia="zh-CN" w:bidi="ar-SA"/>
        </w:rPr>
        <w:t>捐资助学</w:t>
      </w:r>
      <w:r>
        <w:rPr>
          <w:rFonts w:hint="default" w:ascii="仿宋_GB2312" w:hAnsi="仿宋_GB2312" w:eastAsia="仿宋_GB2312" w:cs="仿宋_GB2312"/>
          <w:color w:val="auto"/>
          <w:kern w:val="2"/>
          <w:sz w:val="32"/>
          <w:szCs w:val="32"/>
          <w:lang w:val="en-US" w:eastAsia="zh-CN" w:bidi="ar-SA"/>
        </w:rPr>
        <w:t>等多种方式</w:t>
      </w:r>
      <w:r>
        <w:rPr>
          <w:rFonts w:hint="eastAsia" w:ascii="仿宋_GB2312" w:hAnsi="仿宋_GB2312" w:eastAsia="仿宋_GB2312" w:cs="仿宋_GB2312"/>
          <w:color w:val="auto"/>
          <w:kern w:val="2"/>
          <w:sz w:val="32"/>
          <w:szCs w:val="32"/>
          <w:lang w:val="en-US" w:eastAsia="zh-CN" w:bidi="ar-SA"/>
        </w:rPr>
        <w:t>勇担社会责任，反哺家乡。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（1）疫情防控主动担当。</w:t>
      </w:r>
      <w:r>
        <w:rPr>
          <w:rFonts w:hint="default" w:ascii="仿宋_GB2312" w:hAnsi="仿宋_GB2312" w:eastAsia="仿宋_GB2312" w:cs="仿宋_GB2312"/>
          <w:color w:val="auto"/>
          <w:kern w:val="2"/>
          <w:sz w:val="32"/>
          <w:szCs w:val="32"/>
          <w:lang w:val="en-US" w:eastAsia="zh-CN" w:bidi="ar-SA"/>
        </w:rPr>
        <w:t>面对</w:t>
      </w:r>
      <w:r>
        <w:rPr>
          <w:rFonts w:hint="eastAsia" w:ascii="仿宋_GB2312" w:hAnsi="仿宋_GB2312" w:eastAsia="仿宋_GB2312" w:cs="仿宋_GB2312"/>
          <w:color w:val="auto"/>
          <w:kern w:val="2"/>
          <w:sz w:val="32"/>
          <w:szCs w:val="32"/>
          <w:lang w:val="en-US" w:eastAsia="zh-CN" w:bidi="ar-SA"/>
        </w:rPr>
        <w:t>近两年的</w:t>
      </w:r>
      <w:r>
        <w:rPr>
          <w:rFonts w:hint="default" w:ascii="仿宋_GB2312" w:hAnsi="仿宋_GB2312" w:eastAsia="仿宋_GB2312" w:cs="仿宋_GB2312"/>
          <w:color w:val="auto"/>
          <w:kern w:val="2"/>
          <w:sz w:val="32"/>
          <w:szCs w:val="32"/>
          <w:lang w:val="en-US" w:eastAsia="zh-CN" w:bidi="ar-SA"/>
        </w:rPr>
        <w:t>新冠肺炎疫情</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非公经济</w:t>
      </w:r>
      <w:r>
        <w:rPr>
          <w:rFonts w:hint="eastAsia" w:ascii="仿宋_GB2312" w:hAnsi="仿宋_GB2312" w:eastAsia="仿宋_GB2312" w:cs="仿宋_GB2312"/>
          <w:color w:val="auto"/>
          <w:kern w:val="2"/>
          <w:sz w:val="32"/>
          <w:szCs w:val="32"/>
          <w:lang w:val="en-US" w:eastAsia="zh-CN" w:bidi="ar-SA"/>
        </w:rPr>
        <w:t>主动担当、主动作为，</w:t>
      </w:r>
      <w:r>
        <w:rPr>
          <w:rFonts w:hint="default" w:ascii="仿宋_GB2312" w:hAnsi="仿宋_GB2312" w:eastAsia="仿宋_GB2312" w:cs="仿宋_GB2312"/>
          <w:color w:val="auto"/>
          <w:kern w:val="2"/>
          <w:sz w:val="32"/>
          <w:szCs w:val="32"/>
          <w:lang w:val="en-US" w:eastAsia="zh-CN" w:bidi="ar-SA"/>
        </w:rPr>
        <w:t>向泸县红十字会捐款360</w:t>
      </w:r>
      <w:r>
        <w:rPr>
          <w:rFonts w:hint="eastAsia" w:ascii="仿宋_GB2312" w:hAnsi="仿宋_GB2312" w:eastAsia="仿宋_GB2312" w:cs="仿宋_GB2312"/>
          <w:color w:val="auto"/>
          <w:kern w:val="2"/>
          <w:sz w:val="32"/>
          <w:szCs w:val="32"/>
          <w:lang w:val="en-US" w:eastAsia="zh-CN" w:bidi="ar-SA"/>
        </w:rPr>
        <w:t>余</w:t>
      </w:r>
      <w:r>
        <w:rPr>
          <w:rFonts w:hint="default" w:ascii="仿宋_GB2312" w:hAnsi="仿宋_GB2312" w:eastAsia="仿宋_GB2312" w:cs="仿宋_GB2312"/>
          <w:color w:val="auto"/>
          <w:kern w:val="2"/>
          <w:sz w:val="32"/>
          <w:szCs w:val="32"/>
          <w:lang w:val="en-US" w:eastAsia="zh-CN" w:bidi="ar-SA"/>
        </w:rPr>
        <w:t>万元，泸县直属商会捐款捐物1200</w:t>
      </w:r>
      <w:r>
        <w:rPr>
          <w:rFonts w:hint="eastAsia" w:ascii="仿宋_GB2312" w:hAnsi="仿宋_GB2312" w:eastAsia="仿宋_GB2312" w:cs="仿宋_GB2312"/>
          <w:color w:val="auto"/>
          <w:kern w:val="2"/>
          <w:sz w:val="32"/>
          <w:szCs w:val="32"/>
          <w:lang w:val="en-US" w:eastAsia="zh-CN" w:bidi="ar-SA"/>
        </w:rPr>
        <w:t>余</w:t>
      </w:r>
      <w:r>
        <w:rPr>
          <w:rFonts w:hint="default" w:ascii="仿宋_GB2312" w:hAnsi="仿宋_GB2312" w:eastAsia="仿宋_GB2312" w:cs="仿宋_GB2312"/>
          <w:color w:val="auto"/>
          <w:kern w:val="2"/>
          <w:sz w:val="32"/>
          <w:szCs w:val="32"/>
          <w:lang w:val="en-US" w:eastAsia="zh-CN" w:bidi="ar-SA"/>
        </w:rPr>
        <w:t>万元</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深圳、佛山、成都等异地泸州商会协助购买防疫物资5000余万元。景宏实业集团荣获全国工商联“抗击新冠肺炎疫情先进民营企业”称号。</w:t>
      </w:r>
      <w:r>
        <w:rPr>
          <w:rFonts w:hint="eastAsia" w:ascii="仿宋_GB2312" w:hAnsi="仿宋_GB2312" w:eastAsia="仿宋_GB2312" w:cs="仿宋_GB2312"/>
          <w:color w:val="auto"/>
          <w:kern w:val="2"/>
          <w:sz w:val="32"/>
          <w:szCs w:val="32"/>
          <w:lang w:val="en-US" w:eastAsia="zh-CN" w:bidi="ar-SA"/>
        </w:rPr>
        <w:t>云龙商会荣获泸州市抗击新冠肺炎疫情防控先进集体。阿斯特、科茂建司、维思达、县工商联荣获市工商联抗击新冠肺炎疫情先进单位。刘智能、童世兵荣获泸州市抗击新冠肺炎疫情先进个人。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（2）抗震救灾率先行动。泸县“9.16”地震发生以来，</w:t>
      </w:r>
      <w:r>
        <w:rPr>
          <w:rFonts w:hint="default" w:ascii="仿宋_GB2312" w:hAnsi="仿宋_GB2312" w:eastAsia="仿宋_GB2312" w:cs="仿宋_GB2312"/>
          <w:color w:val="auto"/>
          <w:kern w:val="2"/>
          <w:sz w:val="32"/>
          <w:szCs w:val="32"/>
          <w:lang w:val="en-US" w:eastAsia="zh-CN" w:bidi="ar-SA"/>
        </w:rPr>
        <w:t>各级商会组织、民营经济人士投身抗震救灾并全力参与灾后重建</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累计捐款</w:t>
      </w:r>
      <w:r>
        <w:rPr>
          <w:rFonts w:hint="eastAsia" w:ascii="仿宋_GB2312" w:hAnsi="仿宋_GB2312" w:eastAsia="仿宋_GB2312" w:cs="仿宋_GB2312"/>
          <w:color w:val="auto"/>
          <w:kern w:val="2"/>
          <w:sz w:val="32"/>
          <w:szCs w:val="32"/>
          <w:lang w:val="en-US" w:eastAsia="zh-CN" w:bidi="ar-SA"/>
        </w:rPr>
        <w:t>捐物</w:t>
      </w:r>
      <w:r>
        <w:rPr>
          <w:rFonts w:hint="default"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700</w:t>
      </w:r>
      <w:r>
        <w:rPr>
          <w:rFonts w:hint="default" w:ascii="仿宋_GB2312" w:hAnsi="仿宋_GB2312" w:eastAsia="仿宋_GB2312" w:cs="仿宋_GB2312"/>
          <w:color w:val="auto"/>
          <w:kern w:val="2"/>
          <w:sz w:val="32"/>
          <w:szCs w:val="32"/>
          <w:lang w:val="en-US" w:eastAsia="zh-CN" w:bidi="ar-SA"/>
        </w:rPr>
        <w:t>余万元、投入商会志愿者队伍1240余人次</w:t>
      </w:r>
      <w:r>
        <w:rPr>
          <w:rFonts w:hint="eastAsia" w:ascii="仿宋_GB2312" w:hAnsi="仿宋_GB2312" w:eastAsia="仿宋_GB2312" w:cs="仿宋_GB2312"/>
          <w:color w:val="auto"/>
          <w:kern w:val="2"/>
          <w:sz w:val="32"/>
          <w:szCs w:val="32"/>
          <w:lang w:val="en-US" w:eastAsia="zh-CN" w:bidi="ar-SA"/>
        </w:rPr>
        <w:t>。泸县直属商会第一时间主动参与抗震救灾。泸县龙城商会、女企业家商会、云龙商会等广大会员加入志愿服务队伍。持续参与灾后重建。动员泸县建筑行业商会和建筑类会员企业对口援建镇（街道）相应村社，深圳泸州商会捐款18万余元用于支持灾后重建各项工作，助力家乡群众早日恢复美丽家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乡村振兴勇挑重担。持续巩固脱贫攻坚成果，加强同脱贫户联系，做到脱贫不脱帮扶、脱贫不脱政策。真情帮扶受灾群众。10月，县工商联联系福集镇万宝村104户C/D级地震受灾群众，完成4轮全覆盖走访，帮助群众完成过渡期安置补助申请，房屋维修加固及重建有序推进，部分群众年前能搬进新家。助力乡村振兴。推动商会企业投资乡村振兴产业，推荐泸县禾四季生态农业专合社双稻双虾产业项目参与省万企兴万村行动示范实践村试点，支持龙城商会推广龙城样样好品牌，助力我县特色农副产品销售，引导青海泸州商会、南京泸州商会企业返乡考察，联合发展特色优势产业、开展消费帮扶和就业扶持。援藏持续发力。组织30家企业结对帮扶甘孜州乡城县10个镇乡57个村，动员广大民营企业、商（协）会等民营社会力量参与村企结对共建，组织企业、商会帮扶乡城县重点发展产业项目，组织落实“以购代扶”和“消费扶贫”。</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（4）社会公益持续发力。</w:t>
      </w:r>
      <w:r>
        <w:rPr>
          <w:rFonts w:hint="default" w:ascii="仿宋_GB2312" w:hAnsi="仿宋_GB2312" w:eastAsia="仿宋_GB2312" w:cs="仿宋_GB2312"/>
          <w:color w:val="auto"/>
          <w:kern w:val="2"/>
          <w:sz w:val="32"/>
          <w:szCs w:val="32"/>
          <w:lang w:val="en-US" w:eastAsia="zh-CN" w:bidi="ar-SA"/>
        </w:rPr>
        <w:t>组织民营企业参与栋梁工程、爱心捐赠、“小书包、大爱心”等公益慈善事业，关爱老人、妇女、儿童、退役军人、</w:t>
      </w:r>
      <w:r>
        <w:rPr>
          <w:rFonts w:hint="eastAsia" w:ascii="仿宋_GB2312" w:hAnsi="仿宋_GB2312" w:eastAsia="仿宋_GB2312" w:cs="仿宋_GB2312"/>
          <w:color w:val="auto"/>
          <w:kern w:val="2"/>
          <w:sz w:val="32"/>
          <w:szCs w:val="32"/>
          <w:lang w:val="en-US" w:eastAsia="zh-CN" w:bidi="ar-SA"/>
        </w:rPr>
        <w:t>农民</w:t>
      </w:r>
      <w:r>
        <w:rPr>
          <w:rFonts w:hint="default" w:ascii="仿宋_GB2312" w:hAnsi="仿宋_GB2312" w:eastAsia="仿宋_GB2312" w:cs="仿宋_GB2312"/>
          <w:color w:val="auto"/>
          <w:kern w:val="2"/>
          <w:sz w:val="32"/>
          <w:szCs w:val="32"/>
          <w:lang w:val="en-US" w:eastAsia="zh-CN" w:bidi="ar-SA"/>
        </w:rPr>
        <w:t>工</w:t>
      </w:r>
      <w:r>
        <w:rPr>
          <w:rFonts w:hint="eastAsia" w:ascii="仿宋_GB2312" w:hAnsi="仿宋_GB2312" w:eastAsia="仿宋_GB2312" w:cs="仿宋_GB2312"/>
          <w:color w:val="auto"/>
          <w:kern w:val="2"/>
          <w:sz w:val="32"/>
          <w:szCs w:val="32"/>
          <w:lang w:val="en-US" w:eastAsia="zh-CN" w:bidi="ar-SA"/>
        </w:rPr>
        <w:t>等</w:t>
      </w:r>
      <w:r>
        <w:rPr>
          <w:rFonts w:hint="default" w:ascii="仿宋_GB2312" w:hAnsi="仿宋_GB2312" w:eastAsia="仿宋_GB2312" w:cs="仿宋_GB2312"/>
          <w:color w:val="auto"/>
          <w:kern w:val="2"/>
          <w:sz w:val="32"/>
          <w:szCs w:val="32"/>
          <w:lang w:val="en-US" w:eastAsia="zh-CN" w:bidi="ar-SA"/>
        </w:rPr>
        <w:t>，开展“六一”、“八一”慰问、“九九重阳节”送爱心，环卫工人送关怀等特色活动。</w:t>
      </w:r>
      <w:r>
        <w:rPr>
          <w:rFonts w:hint="eastAsia" w:ascii="仿宋_GB2312" w:hAnsi="仿宋_GB2312" w:eastAsia="仿宋_GB2312" w:cs="仿宋_GB2312"/>
          <w:color w:val="auto"/>
          <w:kern w:val="2"/>
          <w:sz w:val="32"/>
          <w:szCs w:val="32"/>
          <w:lang w:val="en-US" w:eastAsia="zh-CN" w:bidi="ar-SA"/>
        </w:rPr>
        <w:t>2021年栋梁工程社会捐赠捐款430余万元。科贸建司、蜀泸酒业等6家会员单位荣获农民工建设泸县先进集体，李允顺、张仪、王浪伏等20余人荣获农民工建设泸县先进个人，成都攀枝花泸州商会、一圣鸿包装、景宏实业集团等荣获农民工工作先进集体。泸县云龙商会开展“小书包，大爱心”捐赠活动，捐赠物资价值5万余元。泸县龙城商会开展“学党史、感党恩、跟党走，关爱残疾儿童”主题慰问活动。泸县民企积极参与乡村振兴，李允顺、唐勇、李子茂等优秀民营企业家为家乡捐赠路灯、集资修路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5.自身建设有亮度，做到队伍好、作风实、影响大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以思想建设为核心，以组织建设为基础，以制度建设为保障，切实加强自身建设。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（1）党组主体责任更强。</w:t>
      </w:r>
      <w:r>
        <w:rPr>
          <w:rFonts w:hint="default" w:ascii="仿宋_GB2312" w:hAnsi="仿宋_GB2312" w:eastAsia="仿宋_GB2312" w:cs="仿宋_GB2312"/>
          <w:color w:val="auto"/>
          <w:kern w:val="2"/>
          <w:sz w:val="32"/>
          <w:szCs w:val="32"/>
          <w:lang w:val="en-US" w:eastAsia="zh-CN" w:bidi="ar-SA"/>
        </w:rPr>
        <w:t>健全“一把手负总责，分管领导各负其责，班子成员齐抓共管、派驻纪检组协调督查”的领导体制和工作机制，认真落实全面从严治党主体责任，建立健全了权力运行清单以及风险预警、提醒谈话、督查督办、考核评价和责任追究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（2）队伍建设作风更实。</w:t>
      </w:r>
      <w:r>
        <w:rPr>
          <w:rFonts w:hint="default" w:ascii="仿宋_GB2312" w:hAnsi="仿宋_GB2312" w:eastAsia="仿宋_GB2312" w:cs="仿宋_GB2312"/>
          <w:color w:val="auto"/>
          <w:kern w:val="2"/>
          <w:sz w:val="32"/>
          <w:szCs w:val="32"/>
          <w:lang w:val="en-US" w:eastAsia="zh-CN" w:bidi="ar-SA"/>
        </w:rPr>
        <w:t>落实日常学习制度，坚持机关党支部“学习交流会”。</w:t>
      </w:r>
      <w:r>
        <w:rPr>
          <w:rFonts w:hint="eastAsia" w:ascii="仿宋_GB2312" w:hAnsi="仿宋_GB2312" w:eastAsia="仿宋_GB2312" w:cs="仿宋_GB2312"/>
          <w:color w:val="auto"/>
          <w:kern w:val="2"/>
          <w:sz w:val="32"/>
          <w:szCs w:val="32"/>
          <w:lang w:val="en-US" w:eastAsia="zh-CN" w:bidi="ar-SA"/>
        </w:rPr>
        <w:t>扎实开展党史学习教育</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奋力</w:t>
      </w:r>
      <w:r>
        <w:rPr>
          <w:rFonts w:hint="default" w:ascii="仿宋_GB2312" w:hAnsi="仿宋_GB2312" w:eastAsia="仿宋_GB2312" w:cs="仿宋_GB2312"/>
          <w:color w:val="auto"/>
          <w:kern w:val="2"/>
          <w:sz w:val="32"/>
          <w:szCs w:val="32"/>
          <w:lang w:val="en-US" w:eastAsia="zh-CN" w:bidi="ar-SA"/>
        </w:rPr>
        <w:t>汲取红色力量，为企业办实事、解难题。</w:t>
      </w:r>
      <w:r>
        <w:rPr>
          <w:rFonts w:hint="eastAsia" w:ascii="仿宋_GB2312" w:hAnsi="仿宋_GB2312" w:eastAsia="仿宋_GB2312" w:cs="仿宋_GB2312"/>
          <w:color w:val="auto"/>
          <w:kern w:val="2"/>
          <w:sz w:val="32"/>
          <w:szCs w:val="32"/>
          <w:lang w:val="en-US" w:eastAsia="zh-CN" w:bidi="ar-SA"/>
        </w:rPr>
        <w:t>成功召开泸县工商联（总商会）第十一次代表大会</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选优培强工商联新一届执委会班子。进一步</w:t>
      </w:r>
      <w:r>
        <w:rPr>
          <w:rFonts w:hint="default" w:ascii="仿宋_GB2312" w:hAnsi="仿宋_GB2312" w:eastAsia="仿宋_GB2312" w:cs="仿宋_GB2312"/>
          <w:color w:val="auto"/>
          <w:kern w:val="2"/>
          <w:sz w:val="32"/>
          <w:szCs w:val="32"/>
          <w:lang w:val="en-US" w:eastAsia="zh-CN" w:bidi="ar-SA"/>
        </w:rPr>
        <w:t>完善机关管理制度，通过党组“导”、党支部“促”、</w:t>
      </w:r>
      <w:r>
        <w:rPr>
          <w:rFonts w:hint="eastAsia" w:ascii="仿宋_GB2312" w:hAnsi="仿宋_GB2312" w:eastAsia="仿宋_GB2312" w:cs="仿宋_GB2312"/>
          <w:color w:val="auto"/>
          <w:kern w:val="2"/>
          <w:sz w:val="32"/>
          <w:szCs w:val="32"/>
          <w:lang w:val="en-US" w:eastAsia="zh-CN" w:bidi="ar-SA"/>
        </w:rPr>
        <w:t>部</w:t>
      </w:r>
      <w:r>
        <w:rPr>
          <w:rFonts w:hint="default" w:ascii="仿宋_GB2312" w:hAnsi="仿宋_GB2312" w:eastAsia="仿宋_GB2312" w:cs="仿宋_GB2312"/>
          <w:color w:val="auto"/>
          <w:kern w:val="2"/>
          <w:sz w:val="32"/>
          <w:szCs w:val="32"/>
          <w:lang w:val="en-US" w:eastAsia="zh-CN" w:bidi="ar-SA"/>
        </w:rPr>
        <w:t>室“帮”，强调效率质量，强化责任担当。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（3）干部能力素质更强。</w:t>
      </w:r>
      <w:r>
        <w:rPr>
          <w:rFonts w:hint="default" w:ascii="仿宋_GB2312" w:hAnsi="仿宋_GB2312" w:eastAsia="仿宋_GB2312" w:cs="仿宋_GB2312"/>
          <w:color w:val="auto"/>
          <w:kern w:val="2"/>
          <w:sz w:val="32"/>
          <w:szCs w:val="32"/>
          <w:lang w:val="en-US" w:eastAsia="zh-CN" w:bidi="ar-SA"/>
        </w:rPr>
        <w:t>加强教育培训，注重实践锻炼，全面提升机关干部队伍整体素质。压实主体责任，层层传导压力，进一步增强机关干部从全局把握问题能力、应对风险挑战能力、沟通协调能力、开拓创新能力，为做好</w:t>
      </w:r>
      <w:r>
        <w:rPr>
          <w:rFonts w:hint="eastAsia" w:ascii="仿宋_GB2312" w:hAnsi="仿宋_GB2312" w:eastAsia="仿宋_GB2312" w:cs="仿宋_GB2312"/>
          <w:color w:val="auto"/>
          <w:kern w:val="2"/>
          <w:sz w:val="32"/>
          <w:szCs w:val="32"/>
          <w:lang w:val="en-US" w:eastAsia="zh-CN" w:bidi="ar-SA"/>
        </w:rPr>
        <w:t>全县</w:t>
      </w:r>
      <w:r>
        <w:rPr>
          <w:rFonts w:hint="default" w:ascii="仿宋_GB2312" w:hAnsi="仿宋_GB2312" w:eastAsia="仿宋_GB2312" w:cs="仿宋_GB2312"/>
          <w:color w:val="auto"/>
          <w:kern w:val="2"/>
          <w:sz w:val="32"/>
          <w:szCs w:val="32"/>
          <w:lang w:val="en-US" w:eastAsia="zh-CN" w:bidi="ar-SA"/>
        </w:rPr>
        <w:t>新时代民营经济统战工作提供有力组织支撑。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（4）党风廉政抓得更紧。</w:t>
      </w:r>
      <w:r>
        <w:rPr>
          <w:rFonts w:hint="default" w:ascii="仿宋_GB2312" w:hAnsi="仿宋_GB2312" w:eastAsia="仿宋_GB2312" w:cs="仿宋_GB2312"/>
          <w:color w:val="auto"/>
          <w:kern w:val="2"/>
          <w:sz w:val="32"/>
          <w:szCs w:val="32"/>
          <w:lang w:val="en-US" w:eastAsia="zh-CN" w:bidi="ar-SA"/>
        </w:rPr>
        <w:t>严格落实中央八项规定和实施细则精神，狠纠“四风”，落实领导干部党风廉政建设责任制。运用监督执纪“四种形态”使红脸出汗成为常态，注重节假日重要节点廉政自查自纠，牢牢把握意识形态工作领导权，确保干部队伍作风正气势足。</w:t>
      </w:r>
    </w:p>
    <w:p>
      <w:pPr>
        <w:pStyle w:val="4"/>
        <w:pageBreakBefore w:val="0"/>
        <w:kinsoku/>
        <w:wordWrap/>
        <w:overflowPunct/>
        <w:topLinePunct w:val="0"/>
        <w:autoSpaceDE/>
        <w:autoSpaceDN/>
        <w:bidi w:val="0"/>
        <w:adjustRightInd/>
        <w:snapToGrid/>
        <w:spacing w:before="0" w:after="0" w:line="578" w:lineRule="exact"/>
        <w:ind w:firstLine="640" w:firstLineChars="200"/>
        <w:textAlignment w:val="auto"/>
        <w:rPr>
          <w:rStyle w:val="28"/>
          <w:rFonts w:hint="eastAsia" w:ascii="黑体" w:hAnsi="黑体" w:eastAsia="黑体"/>
          <w:b w:val="0"/>
          <w:bCs w:val="0"/>
          <w:color w:val="auto"/>
        </w:rPr>
      </w:pPr>
      <w:bookmarkStart w:id="20" w:name="_Toc15396601"/>
      <w:bookmarkStart w:id="21" w:name="_Toc15377200"/>
      <w:r>
        <w:rPr>
          <w:rFonts w:hint="eastAsia" w:ascii="黑体" w:eastAsia="黑体"/>
          <w:b w:val="0"/>
          <w:color w:val="auto"/>
        </w:rPr>
        <w:t>二、</w:t>
      </w:r>
      <w:r>
        <w:rPr>
          <w:rFonts w:hint="eastAsia" w:ascii="黑体" w:hAnsi="黑体" w:eastAsia="黑体"/>
          <w:b w:val="0"/>
          <w:color w:val="auto"/>
        </w:rPr>
        <w:t>机</w:t>
      </w:r>
      <w:r>
        <w:rPr>
          <w:rStyle w:val="28"/>
          <w:rFonts w:hint="eastAsia" w:ascii="黑体" w:hAnsi="黑体" w:eastAsia="黑体"/>
          <w:b w:val="0"/>
          <w:bCs w:val="0"/>
          <w:color w:val="auto"/>
        </w:rPr>
        <w:t>构设置</w:t>
      </w:r>
      <w:bookmarkEnd w:id="20"/>
      <w:bookmarkEnd w:id="21"/>
      <w:bookmarkStart w:id="22" w:name="_Toc15377204"/>
      <w:bookmarkStart w:id="23" w:name="_Toc15396602"/>
    </w:p>
    <w:p>
      <w:pPr>
        <w:pStyle w:val="4"/>
        <w:pageBreakBefore w:val="0"/>
        <w:kinsoku/>
        <w:wordWrap/>
        <w:overflowPunct/>
        <w:topLinePunct w:val="0"/>
        <w:autoSpaceDE/>
        <w:autoSpaceDN/>
        <w:bidi w:val="0"/>
        <w:adjustRightInd/>
        <w:snapToGrid/>
        <w:spacing w:before="0" w:after="0" w:line="578"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泸县工商业联合会属一级预算单位，无二级预算单位。现有在职公务员5人，事业人员2人，退休干部3人，内设机构有办公室和会员部。 </w:t>
      </w:r>
    </w:p>
    <w:p>
      <w:pPr>
        <w:pageBreakBefore w:val="0"/>
        <w:widowControl/>
        <w:kinsoku/>
        <w:wordWrap/>
        <w:overflowPunct/>
        <w:topLinePunct w:val="0"/>
        <w:bidi w:val="0"/>
        <w:spacing w:line="578" w:lineRule="exact"/>
        <w:jc w:val="center"/>
        <w:rPr>
          <w:rStyle w:val="27"/>
          <w:rFonts w:hint="eastAsia" w:ascii="黑体" w:hAnsi="黑体" w:eastAsia="黑体" w:cstheme="minorBidi"/>
          <w:b w:val="0"/>
          <w:bCs/>
          <w:color w:val="auto"/>
        </w:rPr>
      </w:pPr>
    </w:p>
    <w:p>
      <w:pPr>
        <w:pageBreakBefore w:val="0"/>
        <w:widowControl/>
        <w:kinsoku/>
        <w:wordWrap/>
        <w:overflowPunct/>
        <w:topLinePunct w:val="0"/>
        <w:bidi w:val="0"/>
        <w:spacing w:line="578" w:lineRule="exact"/>
        <w:jc w:val="center"/>
        <w:rPr>
          <w:color w:val="auto"/>
        </w:rPr>
      </w:pPr>
      <w:r>
        <w:rPr>
          <w:rStyle w:val="27"/>
          <w:rFonts w:hint="eastAsia" w:ascii="黑体" w:hAnsi="黑体" w:eastAsia="黑体" w:cstheme="minorBidi"/>
          <w:b w:val="0"/>
          <w:bCs/>
          <w:color w:val="auto"/>
        </w:rPr>
        <w:t>第二部分 2021年度</w:t>
      </w:r>
      <w:r>
        <w:rPr>
          <w:rStyle w:val="27"/>
          <w:rFonts w:hint="eastAsia" w:ascii="黑体" w:hAnsi="黑体" w:eastAsia="黑体"/>
          <w:b w:val="0"/>
          <w:bCs/>
          <w:color w:val="auto"/>
        </w:rPr>
        <w:t>部门决算情况说明</w:t>
      </w:r>
      <w:bookmarkEnd w:id="22"/>
      <w:bookmarkEnd w:id="23"/>
    </w:p>
    <w:p>
      <w:pPr>
        <w:pStyle w:val="26"/>
        <w:pageBreakBefore w:val="0"/>
        <w:numPr>
          <w:ilvl w:val="0"/>
          <w:numId w:val="2"/>
        </w:numPr>
        <w:kinsoku/>
        <w:wordWrap/>
        <w:overflowPunct/>
        <w:topLinePunct w:val="0"/>
        <w:bidi w:val="0"/>
        <w:spacing w:line="578" w:lineRule="exact"/>
        <w:ind w:firstLineChars="0"/>
        <w:outlineLvl w:val="1"/>
        <w:rPr>
          <w:rStyle w:val="28"/>
          <w:rFonts w:ascii="黑体" w:hAnsi="黑体" w:eastAsia="黑体"/>
          <w:b w:val="0"/>
          <w:color w:val="auto"/>
        </w:rPr>
      </w:pPr>
      <w:bookmarkStart w:id="24" w:name="_Toc15377205"/>
      <w:bookmarkStart w:id="25" w:name="_Toc15396603"/>
      <w:r>
        <w:rPr>
          <w:rFonts w:hint="eastAsia" w:ascii="黑体" w:hAnsi="黑体" w:eastAsia="黑体"/>
          <w:color w:val="auto"/>
          <w:sz w:val="32"/>
          <w:szCs w:val="32"/>
        </w:rPr>
        <w:t>收</w:t>
      </w:r>
      <w:r>
        <w:rPr>
          <w:rStyle w:val="28"/>
          <w:rFonts w:hint="eastAsia" w:ascii="黑体" w:hAnsi="黑体" w:eastAsia="黑体"/>
          <w:b w:val="0"/>
          <w:color w:val="auto"/>
        </w:rPr>
        <w:t>入支出决算总体情况说明</w:t>
      </w:r>
      <w:bookmarkEnd w:id="24"/>
      <w:bookmarkEnd w:id="25"/>
    </w:p>
    <w:p>
      <w:pPr>
        <w:pageBreakBefore w:val="0"/>
        <w:kinsoku/>
        <w:wordWrap/>
        <w:overflowPunct/>
        <w:topLinePunct w:val="0"/>
        <w:bidi w:val="0"/>
        <w:spacing w:line="578" w:lineRule="exact"/>
        <w:ind w:left="284"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20</w:t>
      </w:r>
      <w:r>
        <w:rPr>
          <w:rFonts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年决算收入</w:t>
      </w:r>
      <w:r>
        <w:rPr>
          <w:rFonts w:hint="eastAsia" w:ascii="仿宋" w:hAnsi="仿宋" w:eastAsia="仿宋"/>
          <w:color w:val="auto"/>
          <w:sz w:val="32"/>
          <w:szCs w:val="32"/>
          <w:lang w:val="en-US" w:eastAsia="zh-CN"/>
        </w:rPr>
        <w:t>103.27</w:t>
      </w:r>
      <w:r>
        <w:rPr>
          <w:rFonts w:hint="eastAsia" w:ascii="仿宋" w:hAnsi="仿宋" w:eastAsia="仿宋"/>
          <w:color w:val="auto"/>
          <w:sz w:val="32"/>
          <w:szCs w:val="32"/>
        </w:rPr>
        <w:t>万元，较20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年决算收入</w:t>
      </w:r>
      <w:r>
        <w:rPr>
          <w:rFonts w:hint="eastAsia" w:ascii="仿宋" w:hAnsi="仿宋" w:eastAsia="仿宋" w:cs="宋体"/>
          <w:bCs/>
          <w:color w:val="auto"/>
          <w:kern w:val="0"/>
          <w:sz w:val="32"/>
          <w:szCs w:val="32"/>
          <w:lang w:val="en-US" w:eastAsia="zh-CN"/>
        </w:rPr>
        <w:t>138.54</w:t>
      </w:r>
      <w:r>
        <w:rPr>
          <w:rFonts w:hint="eastAsia" w:ascii="仿宋" w:hAnsi="仿宋" w:eastAsia="仿宋" w:cs="宋体"/>
          <w:bCs/>
          <w:color w:val="auto"/>
          <w:kern w:val="0"/>
          <w:sz w:val="32"/>
          <w:szCs w:val="32"/>
        </w:rPr>
        <w:t>万元减少</w:t>
      </w:r>
      <w:r>
        <w:rPr>
          <w:rFonts w:hint="eastAsia" w:ascii="仿宋" w:hAnsi="仿宋" w:eastAsia="仿宋" w:cs="宋体"/>
          <w:bCs/>
          <w:color w:val="auto"/>
          <w:kern w:val="0"/>
          <w:sz w:val="32"/>
          <w:szCs w:val="32"/>
          <w:lang w:val="en-US" w:eastAsia="zh-CN"/>
        </w:rPr>
        <w:t>35.27</w:t>
      </w:r>
      <w:r>
        <w:rPr>
          <w:rFonts w:hint="eastAsia" w:ascii="仿宋" w:hAnsi="仿宋" w:eastAsia="仿宋" w:cs="宋体"/>
          <w:bCs/>
          <w:color w:val="auto"/>
          <w:kern w:val="0"/>
          <w:sz w:val="32"/>
          <w:szCs w:val="32"/>
        </w:rPr>
        <w:t>万元，减少</w:t>
      </w:r>
      <w:r>
        <w:rPr>
          <w:rFonts w:hint="eastAsia" w:ascii="仿宋" w:hAnsi="仿宋" w:eastAsia="仿宋" w:cs="宋体"/>
          <w:bCs/>
          <w:color w:val="auto"/>
          <w:kern w:val="0"/>
          <w:sz w:val="32"/>
          <w:szCs w:val="32"/>
          <w:lang w:val="en-US" w:eastAsia="zh-CN"/>
        </w:rPr>
        <w:t>34.15</w:t>
      </w:r>
      <w:r>
        <w:rPr>
          <w:rFonts w:hint="eastAsia" w:ascii="仿宋" w:hAnsi="仿宋" w:eastAsia="仿宋" w:cs="宋体"/>
          <w:bCs/>
          <w:color w:val="auto"/>
          <w:kern w:val="0"/>
          <w:sz w:val="32"/>
          <w:szCs w:val="32"/>
        </w:rPr>
        <w:t>%，主要原因是项</w:t>
      </w:r>
      <w:r>
        <w:rPr>
          <w:rFonts w:hint="eastAsia" w:ascii="仿宋" w:hAnsi="仿宋" w:eastAsia="仿宋" w:cs="宋体"/>
          <w:bCs/>
          <w:color w:val="auto"/>
          <w:kern w:val="0"/>
          <w:sz w:val="32"/>
          <w:szCs w:val="32"/>
          <w:highlight w:val="none"/>
        </w:rPr>
        <w:t>目经费减少</w:t>
      </w:r>
      <w:r>
        <w:rPr>
          <w:rFonts w:hint="eastAsia" w:ascii="仿宋" w:hAnsi="仿宋" w:eastAsia="仿宋" w:cs="宋体"/>
          <w:bCs/>
          <w:color w:val="auto"/>
          <w:kern w:val="0"/>
          <w:sz w:val="32"/>
          <w:szCs w:val="32"/>
        </w:rPr>
        <w:t>；20</w:t>
      </w:r>
      <w:r>
        <w:rPr>
          <w:rFonts w:ascii="仿宋" w:hAnsi="仿宋" w:eastAsia="仿宋" w:cs="宋体"/>
          <w:bCs/>
          <w:color w:val="auto"/>
          <w:kern w:val="0"/>
          <w:sz w:val="32"/>
          <w:szCs w:val="32"/>
        </w:rPr>
        <w:t>2</w:t>
      </w:r>
      <w:r>
        <w:rPr>
          <w:rFonts w:hint="eastAsia" w:ascii="仿宋" w:hAnsi="仿宋" w:eastAsia="仿宋" w:cs="宋体"/>
          <w:bCs/>
          <w:color w:val="auto"/>
          <w:kern w:val="0"/>
          <w:sz w:val="32"/>
          <w:szCs w:val="32"/>
          <w:lang w:val="en-US" w:eastAsia="zh-CN"/>
        </w:rPr>
        <w:t>1</w:t>
      </w:r>
      <w:r>
        <w:rPr>
          <w:rFonts w:hint="eastAsia" w:ascii="仿宋" w:hAnsi="仿宋" w:eastAsia="仿宋" w:cs="宋体"/>
          <w:bCs/>
          <w:color w:val="auto"/>
          <w:kern w:val="0"/>
          <w:sz w:val="32"/>
          <w:szCs w:val="32"/>
        </w:rPr>
        <w:t>年决算</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133.51</w:t>
      </w:r>
      <w:r>
        <w:rPr>
          <w:rFonts w:hint="eastAsia" w:ascii="仿宋" w:hAnsi="仿宋" w:eastAsia="仿宋"/>
          <w:color w:val="auto"/>
          <w:sz w:val="32"/>
          <w:szCs w:val="32"/>
        </w:rPr>
        <w:t>万元，较20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年支出16</w:t>
      </w:r>
      <w:r>
        <w:rPr>
          <w:rFonts w:ascii="仿宋" w:hAnsi="仿宋" w:eastAsia="仿宋"/>
          <w:color w:val="auto"/>
          <w:sz w:val="32"/>
          <w:szCs w:val="32"/>
        </w:rPr>
        <w:t>9.71</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36.2</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27.11%</w:t>
      </w:r>
      <w:r>
        <w:rPr>
          <w:rFonts w:hint="eastAsia" w:ascii="仿宋" w:hAnsi="仿宋" w:eastAsia="仿宋" w:cs="宋体"/>
          <w:bCs/>
          <w:color w:val="auto"/>
          <w:kern w:val="0"/>
          <w:sz w:val="32"/>
          <w:szCs w:val="32"/>
        </w:rPr>
        <w:t>，主要原因是</w:t>
      </w:r>
      <w:r>
        <w:rPr>
          <w:rFonts w:hint="eastAsia" w:ascii="仿宋" w:hAnsi="仿宋" w:eastAsia="仿宋" w:cs="宋体"/>
          <w:bCs/>
          <w:color w:val="auto"/>
          <w:kern w:val="0"/>
          <w:sz w:val="32"/>
          <w:szCs w:val="32"/>
          <w:highlight w:val="none"/>
        </w:rPr>
        <w:t>项目资金</w:t>
      </w:r>
      <w:r>
        <w:rPr>
          <w:rFonts w:hint="eastAsia" w:ascii="仿宋" w:hAnsi="仿宋" w:eastAsia="仿宋" w:cs="宋体"/>
          <w:bCs/>
          <w:color w:val="auto"/>
          <w:kern w:val="0"/>
          <w:sz w:val="32"/>
          <w:szCs w:val="32"/>
          <w:highlight w:val="none"/>
          <w:lang w:eastAsia="zh-CN"/>
        </w:rPr>
        <w:t>减少</w:t>
      </w:r>
      <w:r>
        <w:rPr>
          <w:rFonts w:hint="eastAsia" w:ascii="仿宋" w:hAnsi="仿宋" w:eastAsia="仿宋" w:cs="宋体"/>
          <w:bCs/>
          <w:color w:val="auto"/>
          <w:kern w:val="0"/>
          <w:sz w:val="32"/>
          <w:szCs w:val="32"/>
          <w:highlight w:val="none"/>
        </w:rPr>
        <w:t>。</w:t>
      </w:r>
      <w:r>
        <w:rPr>
          <w:rFonts w:ascii="仿宋" w:hAnsi="仿宋" w:eastAsia="仿宋" w:cs="宋体"/>
          <w:bCs/>
          <w:color w:val="auto"/>
          <w:kern w:val="0"/>
          <w:sz w:val="32"/>
          <w:szCs w:val="32"/>
        </w:rPr>
        <w:t xml:space="preserve">  </w:t>
      </w:r>
      <w:r>
        <w:rPr>
          <w:rFonts w:hint="eastAsia" w:ascii="仿宋" w:hAnsi="仿宋" w:eastAsia="仿宋"/>
          <w:color w:val="auto"/>
          <w:sz w:val="32"/>
          <w:szCs w:val="32"/>
          <w:lang w:eastAsia="zh-CN"/>
        </w:rPr>
        <w:drawing>
          <wp:anchor distT="0" distB="0" distL="114300" distR="114300" simplePos="0" relativeHeight="251659264" behindDoc="0" locked="0" layoutInCell="1" allowOverlap="1">
            <wp:simplePos x="0" y="0"/>
            <wp:positionH relativeFrom="column">
              <wp:posOffset>1207770</wp:posOffset>
            </wp:positionH>
            <wp:positionV relativeFrom="paragraph">
              <wp:posOffset>67310</wp:posOffset>
            </wp:positionV>
            <wp:extent cx="3340735" cy="2174240"/>
            <wp:effectExtent l="4445" t="4445" r="7620" b="1206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：收、支决算总计变动情况图）（柱状图）</w:t>
      </w:r>
    </w:p>
    <w:p>
      <w:pPr>
        <w:pStyle w:val="26"/>
        <w:pageBreakBefore w:val="0"/>
        <w:numPr>
          <w:ilvl w:val="0"/>
          <w:numId w:val="2"/>
        </w:numPr>
        <w:kinsoku/>
        <w:wordWrap/>
        <w:overflowPunct/>
        <w:topLinePunct w:val="0"/>
        <w:bidi w:val="0"/>
        <w:spacing w:line="578" w:lineRule="exact"/>
        <w:ind w:firstLineChars="0"/>
        <w:outlineLvl w:val="1"/>
        <w:rPr>
          <w:rStyle w:val="28"/>
          <w:rFonts w:ascii="黑体" w:hAnsi="黑体" w:eastAsia="黑体"/>
          <w:b w:val="0"/>
          <w:color w:val="auto"/>
        </w:rPr>
      </w:pPr>
      <w:bookmarkStart w:id="26" w:name="_Toc15377206"/>
      <w:bookmarkStart w:id="27" w:name="_Toc15396604"/>
      <w:r>
        <w:rPr>
          <w:rFonts w:hint="eastAsia" w:ascii="黑体" w:hAnsi="黑体" w:eastAsia="黑体"/>
          <w:color w:val="auto"/>
          <w:sz w:val="32"/>
          <w:szCs w:val="32"/>
        </w:rPr>
        <w:t>收</w:t>
      </w:r>
      <w:r>
        <w:rPr>
          <w:rStyle w:val="28"/>
          <w:rFonts w:hint="eastAsia" w:ascii="黑体" w:hAnsi="黑体" w:eastAsia="黑体"/>
          <w:b w:val="0"/>
          <w:color w:val="auto"/>
        </w:rPr>
        <w:t>入决算情况说明</w:t>
      </w:r>
      <w:bookmarkEnd w:id="26"/>
      <w:bookmarkEnd w:id="27"/>
    </w:p>
    <w:p>
      <w:pPr>
        <w:pageBreakBefore w:val="0"/>
        <w:kinsoku/>
        <w:wordWrap/>
        <w:overflowPunct/>
        <w:topLinePunct w:val="0"/>
        <w:bidi w:val="0"/>
        <w:spacing w:line="578" w:lineRule="exact"/>
        <w:ind w:firstLine="640" w:firstLineChars="200"/>
        <w:outlineLvl w:val="1"/>
        <w:rPr>
          <w:rFonts w:hint="eastAsia" w:ascii="仿宋" w:hAnsi="仿宋" w:eastAsia="仿宋"/>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rPr>
        <w:t>21年本年收入合计</w:t>
      </w:r>
      <w:r>
        <w:rPr>
          <w:rFonts w:hint="eastAsia" w:ascii="仿宋" w:hAnsi="仿宋" w:eastAsia="仿宋"/>
          <w:color w:val="auto"/>
          <w:sz w:val="32"/>
          <w:szCs w:val="32"/>
          <w:lang w:val="en-US" w:eastAsia="zh-CN"/>
        </w:rPr>
        <w:t>103.27</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103.27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lang w:eastAsia="zh-CN"/>
        </w:rPr>
        <w:t>。</w:t>
      </w:r>
    </w:p>
    <w:p>
      <w:pPr>
        <w:pageBreakBefore w:val="0"/>
        <w:kinsoku/>
        <w:wordWrap/>
        <w:overflowPunct/>
        <w:topLinePunct w:val="0"/>
        <w:bidi w:val="0"/>
        <w:spacing w:line="578" w:lineRule="exact"/>
        <w:ind w:firstLine="420" w:firstLineChars="200"/>
        <w:rPr>
          <w:rFonts w:ascii="仿宋" w:hAnsi="仿宋" w:eastAsia="仿宋"/>
          <w:color w:val="auto"/>
          <w:sz w:val="32"/>
          <w:szCs w:val="32"/>
        </w:rPr>
      </w:pPr>
      <w:r>
        <w:rPr>
          <w:color w:val="auto"/>
        </w:rPr>
        <w:drawing>
          <wp:anchor distT="0" distB="0" distL="114300" distR="114300" simplePos="0" relativeHeight="251660288" behindDoc="0" locked="0" layoutInCell="1" allowOverlap="1">
            <wp:simplePos x="0" y="0"/>
            <wp:positionH relativeFrom="column">
              <wp:posOffset>479425</wp:posOffset>
            </wp:positionH>
            <wp:positionV relativeFrom="paragraph">
              <wp:posOffset>-370840</wp:posOffset>
            </wp:positionV>
            <wp:extent cx="3807460" cy="2287270"/>
            <wp:effectExtent l="4445" t="4445" r="17145"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rPr>
        <w:t>（图2：收入决算结构图）（饼状图）</w:t>
      </w:r>
    </w:p>
    <w:p>
      <w:pPr>
        <w:pStyle w:val="26"/>
        <w:pageBreakBefore w:val="0"/>
        <w:numPr>
          <w:ilvl w:val="0"/>
          <w:numId w:val="2"/>
        </w:numPr>
        <w:kinsoku/>
        <w:wordWrap/>
        <w:overflowPunct/>
        <w:topLinePunct w:val="0"/>
        <w:bidi w:val="0"/>
        <w:spacing w:line="578" w:lineRule="exact"/>
        <w:ind w:firstLineChars="0"/>
        <w:outlineLvl w:val="1"/>
        <w:rPr>
          <w:rStyle w:val="28"/>
          <w:rFonts w:ascii="黑体" w:hAnsi="黑体" w:eastAsia="黑体"/>
          <w:b w:val="0"/>
          <w:color w:val="auto"/>
        </w:rPr>
      </w:pPr>
      <w:bookmarkStart w:id="28" w:name="_Toc15396605"/>
      <w:bookmarkStart w:id="29" w:name="_Toc15377207"/>
      <w:r>
        <w:rPr>
          <w:rFonts w:hint="eastAsia" w:ascii="黑体" w:hAnsi="黑体" w:eastAsia="黑体"/>
          <w:color w:val="auto"/>
          <w:sz w:val="32"/>
          <w:szCs w:val="32"/>
        </w:rPr>
        <w:t>支</w:t>
      </w:r>
      <w:r>
        <w:rPr>
          <w:rStyle w:val="28"/>
          <w:rFonts w:hint="eastAsia" w:ascii="黑体" w:hAnsi="黑体" w:eastAsia="黑体"/>
          <w:b w:val="0"/>
          <w:color w:val="auto"/>
        </w:rPr>
        <w:t>出决算情况说明</w:t>
      </w:r>
      <w:bookmarkEnd w:id="28"/>
      <w:bookmarkEnd w:id="29"/>
    </w:p>
    <w:p>
      <w:pPr>
        <w:pageBreakBefore w:val="0"/>
        <w:kinsoku/>
        <w:wordWrap/>
        <w:overflowPunct/>
        <w:topLinePunct w:val="0"/>
        <w:bidi w:val="0"/>
        <w:spacing w:line="578" w:lineRule="exact"/>
        <w:ind w:firstLine="640" w:firstLineChars="200"/>
        <w:outlineLvl w:val="1"/>
        <w:rPr>
          <w:rFonts w:hint="eastAsia" w:ascii="仿宋" w:hAnsi="仿宋" w:eastAsia="仿宋"/>
          <w:color w:val="auto"/>
          <w:sz w:val="32"/>
          <w:szCs w:val="32"/>
          <w:shd w:val="pct10" w:color="auto" w:fill="FFFFFF"/>
          <w:lang w:eastAsia="zh-CN"/>
        </w:rPr>
      </w:pPr>
      <w:r>
        <w:rPr>
          <w:rFonts w:ascii="仿宋" w:hAnsi="仿宋" w:eastAsia="仿宋"/>
          <w:color w:val="auto"/>
          <w:sz w:val="32"/>
          <w:szCs w:val="32"/>
        </w:rPr>
        <w:t>20</w:t>
      </w:r>
      <w:r>
        <w:rPr>
          <w:rFonts w:hint="eastAsia" w:ascii="仿宋" w:hAnsi="仿宋" w:eastAsia="仿宋"/>
          <w:color w:val="auto"/>
          <w:sz w:val="32"/>
          <w:szCs w:val="32"/>
        </w:rPr>
        <w:t>21年本年支出合计</w:t>
      </w:r>
      <w:r>
        <w:rPr>
          <w:rFonts w:hint="eastAsia" w:ascii="仿宋" w:hAnsi="仿宋" w:eastAsia="仿宋"/>
          <w:color w:val="auto"/>
          <w:sz w:val="32"/>
          <w:szCs w:val="32"/>
          <w:lang w:val="en-US" w:eastAsia="zh-CN"/>
        </w:rPr>
        <w:t>133.51</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81.26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60.86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52.25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39.14</w:t>
      </w:r>
      <w:r>
        <w:rPr>
          <w:rFonts w:ascii="仿宋" w:hAnsi="仿宋" w:eastAsia="仿宋"/>
          <w:color w:val="auto"/>
          <w:sz w:val="32"/>
          <w:szCs w:val="32"/>
        </w:rPr>
        <w:t>%</w:t>
      </w:r>
      <w:r>
        <w:rPr>
          <w:rFonts w:hint="eastAsia" w:ascii="仿宋" w:hAnsi="仿宋" w:eastAsia="仿宋"/>
          <w:color w:val="auto"/>
          <w:sz w:val="32"/>
          <w:szCs w:val="32"/>
          <w:lang w:eastAsia="zh-CN"/>
        </w:rPr>
        <w:t>。</w:t>
      </w:r>
    </w:p>
    <w:p>
      <w:pPr>
        <w:pageBreakBefore w:val="0"/>
        <w:kinsoku/>
        <w:wordWrap/>
        <w:overflowPunct/>
        <w:topLinePunct w:val="0"/>
        <w:bidi w:val="0"/>
        <w:spacing w:line="578"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drawing>
          <wp:anchor distT="0" distB="0" distL="114300" distR="114300" simplePos="0" relativeHeight="251661312" behindDoc="0" locked="0" layoutInCell="1" allowOverlap="1">
            <wp:simplePos x="0" y="0"/>
            <wp:positionH relativeFrom="column">
              <wp:posOffset>1034415</wp:posOffset>
            </wp:positionH>
            <wp:positionV relativeFrom="paragraph">
              <wp:posOffset>258445</wp:posOffset>
            </wp:positionV>
            <wp:extent cx="3462020" cy="2045335"/>
            <wp:effectExtent l="5080" t="4445" r="19050" b="762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rPr>
        <w:t>（图3：支出决算结构图）（饼状图）</w:t>
      </w:r>
    </w:p>
    <w:p>
      <w:pPr>
        <w:pageBreakBefore w:val="0"/>
        <w:kinsoku/>
        <w:wordWrap/>
        <w:overflowPunct/>
        <w:topLinePunct w:val="0"/>
        <w:bidi w:val="0"/>
        <w:spacing w:line="578" w:lineRule="exact"/>
        <w:ind w:firstLine="640" w:firstLineChars="200"/>
        <w:rPr>
          <w:rFonts w:ascii="仿宋_GB2312" w:eastAsia="仿宋_GB2312"/>
          <w:color w:val="auto"/>
          <w:sz w:val="32"/>
          <w:szCs w:val="32"/>
        </w:rPr>
      </w:pPr>
    </w:p>
    <w:p>
      <w:pPr>
        <w:pageBreakBefore w:val="0"/>
        <w:kinsoku/>
        <w:wordWrap/>
        <w:overflowPunct/>
        <w:topLinePunct w:val="0"/>
        <w:bidi w:val="0"/>
        <w:spacing w:line="578" w:lineRule="exact"/>
        <w:ind w:firstLine="640" w:firstLineChars="200"/>
        <w:outlineLvl w:val="1"/>
        <w:rPr>
          <w:rStyle w:val="28"/>
          <w:rFonts w:ascii="黑体" w:hAnsi="黑体" w:eastAsia="黑体"/>
          <w:b w:val="0"/>
          <w:color w:val="auto"/>
        </w:rPr>
      </w:pPr>
      <w:bookmarkStart w:id="30" w:name="_Toc15377208"/>
      <w:bookmarkStart w:id="31" w:name="_Toc15396606"/>
      <w:r>
        <w:rPr>
          <w:rFonts w:hint="eastAsia" w:ascii="黑体" w:hAnsi="黑体" w:eastAsia="黑体"/>
          <w:color w:val="auto"/>
          <w:sz w:val="32"/>
          <w:szCs w:val="32"/>
        </w:rPr>
        <w:t>四、财</w:t>
      </w:r>
      <w:r>
        <w:rPr>
          <w:rStyle w:val="28"/>
          <w:rFonts w:hint="eastAsia" w:ascii="黑体" w:hAnsi="黑体" w:eastAsia="黑体"/>
          <w:b w:val="0"/>
          <w:color w:val="auto"/>
        </w:rPr>
        <w:t>政拨款收入支出决算总体情况说明</w:t>
      </w:r>
      <w:bookmarkEnd w:id="30"/>
      <w:bookmarkEnd w:id="31"/>
    </w:p>
    <w:p>
      <w:pPr>
        <w:pageBreakBefore w:val="0"/>
        <w:kinsoku/>
        <w:wordWrap/>
        <w:overflowPunct/>
        <w:topLinePunct w:val="0"/>
        <w:bidi w:val="0"/>
        <w:spacing w:line="578" w:lineRule="exact"/>
        <w:ind w:left="284" w:firstLine="640" w:firstLineChars="200"/>
        <w:rPr>
          <w:rFonts w:hint="eastAsia" w:ascii="仿宋" w:hAnsi="仿宋" w:eastAsia="仿宋" w:cs="宋体"/>
          <w:bCs/>
          <w:color w:val="auto"/>
          <w:kern w:val="0"/>
          <w:sz w:val="32"/>
          <w:szCs w:val="32"/>
        </w:rPr>
      </w:pPr>
      <w:r>
        <w:rPr>
          <w:rFonts w:hint="eastAsia" w:ascii="仿宋" w:hAnsi="仿宋" w:eastAsia="仿宋"/>
          <w:color w:val="auto"/>
          <w:sz w:val="32"/>
          <w:szCs w:val="32"/>
        </w:rPr>
        <w:t>20</w:t>
      </w:r>
      <w:r>
        <w:rPr>
          <w:rFonts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年决算收入</w:t>
      </w:r>
      <w:r>
        <w:rPr>
          <w:rFonts w:hint="eastAsia" w:ascii="仿宋" w:hAnsi="仿宋" w:eastAsia="仿宋"/>
          <w:color w:val="auto"/>
          <w:sz w:val="32"/>
          <w:szCs w:val="32"/>
          <w:lang w:val="en-US" w:eastAsia="zh-CN"/>
        </w:rPr>
        <w:t>135.34</w:t>
      </w:r>
      <w:r>
        <w:rPr>
          <w:rFonts w:hint="eastAsia" w:ascii="仿宋" w:hAnsi="仿宋" w:eastAsia="仿宋"/>
          <w:color w:val="auto"/>
          <w:sz w:val="32"/>
          <w:szCs w:val="32"/>
        </w:rPr>
        <w:t>万元，较20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年决算收入</w:t>
      </w:r>
      <w:r>
        <w:rPr>
          <w:rFonts w:ascii="仿宋" w:hAnsi="仿宋" w:eastAsia="仿宋"/>
          <w:color w:val="auto"/>
          <w:sz w:val="32"/>
          <w:szCs w:val="32"/>
        </w:rPr>
        <w:t>169.71</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34.37</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25.4</w:t>
      </w:r>
      <w:r>
        <w:rPr>
          <w:rFonts w:hint="eastAsia" w:ascii="仿宋" w:hAnsi="仿宋" w:eastAsia="仿宋" w:cs="宋体"/>
          <w:bCs/>
          <w:color w:val="auto"/>
          <w:kern w:val="0"/>
          <w:sz w:val="32"/>
          <w:szCs w:val="32"/>
        </w:rPr>
        <w:t>%，主要原因是</w:t>
      </w:r>
      <w:r>
        <w:rPr>
          <w:rFonts w:hint="eastAsia" w:ascii="仿宋" w:hAnsi="仿宋" w:eastAsia="仿宋" w:cs="宋体"/>
          <w:bCs/>
          <w:color w:val="auto"/>
          <w:kern w:val="0"/>
          <w:sz w:val="32"/>
          <w:szCs w:val="32"/>
          <w:lang w:eastAsia="zh-CN"/>
        </w:rPr>
        <w:t>人员</w:t>
      </w:r>
      <w:r>
        <w:rPr>
          <w:rFonts w:hint="eastAsia" w:ascii="仿宋" w:hAnsi="仿宋" w:eastAsia="仿宋" w:cs="宋体"/>
          <w:bCs/>
          <w:color w:val="auto"/>
          <w:kern w:val="0"/>
          <w:sz w:val="32"/>
          <w:szCs w:val="32"/>
          <w:highlight w:val="none"/>
        </w:rPr>
        <w:t>经费</w:t>
      </w:r>
      <w:r>
        <w:rPr>
          <w:rFonts w:hint="eastAsia" w:ascii="仿宋" w:hAnsi="仿宋" w:eastAsia="仿宋" w:cs="宋体"/>
          <w:bCs/>
          <w:color w:val="auto"/>
          <w:kern w:val="0"/>
          <w:sz w:val="32"/>
          <w:szCs w:val="32"/>
          <w:highlight w:val="none"/>
          <w:lang w:eastAsia="zh-CN"/>
        </w:rPr>
        <w:t>减少</w:t>
      </w:r>
      <w:r>
        <w:rPr>
          <w:rFonts w:hint="eastAsia" w:ascii="仿宋" w:hAnsi="仿宋" w:eastAsia="仿宋" w:cs="宋体"/>
          <w:bCs/>
          <w:color w:val="auto"/>
          <w:kern w:val="0"/>
          <w:sz w:val="32"/>
          <w:szCs w:val="32"/>
        </w:rPr>
        <w:t>；20</w:t>
      </w:r>
      <w:r>
        <w:rPr>
          <w:rFonts w:ascii="仿宋" w:hAnsi="仿宋" w:eastAsia="仿宋" w:cs="宋体"/>
          <w:bCs/>
          <w:color w:val="auto"/>
          <w:kern w:val="0"/>
          <w:sz w:val="32"/>
          <w:szCs w:val="32"/>
        </w:rPr>
        <w:t>2</w:t>
      </w:r>
      <w:r>
        <w:rPr>
          <w:rFonts w:hint="eastAsia" w:ascii="仿宋" w:hAnsi="仿宋" w:eastAsia="仿宋" w:cs="宋体"/>
          <w:bCs/>
          <w:color w:val="auto"/>
          <w:kern w:val="0"/>
          <w:sz w:val="32"/>
          <w:szCs w:val="32"/>
          <w:lang w:val="en-US" w:eastAsia="zh-CN"/>
        </w:rPr>
        <w:t>1</w:t>
      </w:r>
      <w:r>
        <w:rPr>
          <w:rFonts w:hint="eastAsia" w:ascii="仿宋" w:hAnsi="仿宋" w:eastAsia="仿宋" w:cs="宋体"/>
          <w:bCs/>
          <w:color w:val="auto"/>
          <w:kern w:val="0"/>
          <w:sz w:val="32"/>
          <w:szCs w:val="32"/>
        </w:rPr>
        <w:t>年决算</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135.34</w:t>
      </w:r>
      <w:r>
        <w:rPr>
          <w:rFonts w:hint="eastAsia" w:ascii="仿宋" w:hAnsi="仿宋" w:eastAsia="仿宋"/>
          <w:color w:val="auto"/>
          <w:sz w:val="32"/>
          <w:szCs w:val="32"/>
        </w:rPr>
        <w:t>万元，较20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年支出</w:t>
      </w:r>
      <w:r>
        <w:rPr>
          <w:rFonts w:hint="eastAsia" w:ascii="仿宋" w:hAnsi="仿宋" w:eastAsia="仿宋" w:cs="宋体"/>
          <w:bCs/>
          <w:color w:val="auto"/>
          <w:kern w:val="0"/>
          <w:sz w:val="32"/>
          <w:szCs w:val="32"/>
          <w:lang w:val="en-US" w:eastAsia="zh-CN"/>
        </w:rPr>
        <w:t>169.71</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34.37</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25.4</w:t>
      </w:r>
      <w:r>
        <w:rPr>
          <w:rFonts w:hint="eastAsia" w:ascii="仿宋" w:hAnsi="仿宋" w:eastAsia="仿宋" w:cs="宋体"/>
          <w:bCs/>
          <w:color w:val="auto"/>
          <w:kern w:val="0"/>
          <w:sz w:val="32"/>
          <w:szCs w:val="32"/>
        </w:rPr>
        <w:t>%，主要原因是项</w:t>
      </w:r>
      <w:r>
        <w:rPr>
          <w:rFonts w:hint="eastAsia" w:ascii="仿宋" w:hAnsi="仿宋" w:eastAsia="仿宋" w:cs="宋体"/>
          <w:bCs/>
          <w:color w:val="auto"/>
          <w:kern w:val="0"/>
          <w:sz w:val="32"/>
          <w:szCs w:val="32"/>
          <w:highlight w:val="none"/>
        </w:rPr>
        <w:t>目资金</w:t>
      </w:r>
      <w:r>
        <w:rPr>
          <w:rFonts w:hint="eastAsia" w:ascii="仿宋" w:hAnsi="仿宋" w:eastAsia="仿宋" w:cs="宋体"/>
          <w:bCs/>
          <w:color w:val="auto"/>
          <w:kern w:val="0"/>
          <w:sz w:val="32"/>
          <w:szCs w:val="32"/>
          <w:highlight w:val="none"/>
          <w:lang w:eastAsia="zh-CN"/>
        </w:rPr>
        <w:t>减少</w:t>
      </w:r>
      <w:r>
        <w:rPr>
          <w:rFonts w:hint="eastAsia" w:ascii="仿宋" w:hAnsi="仿宋" w:eastAsia="仿宋" w:cs="宋体"/>
          <w:bCs/>
          <w:color w:val="auto"/>
          <w:kern w:val="0"/>
          <w:sz w:val="32"/>
          <w:szCs w:val="32"/>
        </w:rPr>
        <w:t>。</w:t>
      </w:r>
    </w:p>
    <w:p>
      <w:pPr>
        <w:pageBreakBefore w:val="0"/>
        <w:kinsoku/>
        <w:wordWrap/>
        <w:overflowPunct/>
        <w:topLinePunct w:val="0"/>
        <w:bidi w:val="0"/>
        <w:spacing w:line="578" w:lineRule="exact"/>
        <w:rPr>
          <w:rFonts w:ascii="仿宋" w:hAnsi="仿宋" w:eastAsia="仿宋"/>
          <w:color w:val="auto"/>
          <w:sz w:val="32"/>
          <w:szCs w:val="32"/>
        </w:rPr>
      </w:pPr>
      <w:r>
        <w:rPr>
          <w:rFonts w:hint="eastAsia" w:ascii="仿宋" w:hAnsi="仿宋" w:eastAsia="仿宋"/>
          <w:color w:val="auto"/>
          <w:sz w:val="32"/>
          <w:szCs w:val="32"/>
          <w:lang w:eastAsia="zh-CN"/>
        </w:rPr>
        <w:drawing>
          <wp:anchor distT="0" distB="0" distL="114300" distR="114300" simplePos="0" relativeHeight="251662336" behindDoc="0" locked="0" layoutInCell="1" allowOverlap="1">
            <wp:simplePos x="0" y="0"/>
            <wp:positionH relativeFrom="column">
              <wp:posOffset>1147445</wp:posOffset>
            </wp:positionH>
            <wp:positionV relativeFrom="paragraph">
              <wp:posOffset>48260</wp:posOffset>
            </wp:positionV>
            <wp:extent cx="3679190" cy="2633345"/>
            <wp:effectExtent l="4445" t="4445" r="12065" b="1016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rPr>
        <w:t>（图4：财政拨款收、支决算总计变动情况）（柱状图）</w:t>
      </w:r>
    </w:p>
    <w:p>
      <w:pPr>
        <w:pageBreakBefore w:val="0"/>
        <w:kinsoku/>
        <w:wordWrap/>
        <w:overflowPunct/>
        <w:topLinePunct w:val="0"/>
        <w:bidi w:val="0"/>
        <w:spacing w:line="578" w:lineRule="exact"/>
        <w:ind w:firstLine="640" w:firstLineChars="200"/>
        <w:outlineLvl w:val="1"/>
        <w:rPr>
          <w:rStyle w:val="28"/>
          <w:rFonts w:ascii="黑体" w:hAnsi="黑体" w:eastAsia="黑体"/>
          <w:b w:val="0"/>
          <w:color w:val="auto"/>
        </w:rPr>
      </w:pPr>
      <w:bookmarkStart w:id="32" w:name="_Toc15377209"/>
      <w:bookmarkStart w:id="33"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般公共预算财政拨款支出决算情况说明</w:t>
      </w:r>
      <w:bookmarkEnd w:id="32"/>
      <w:bookmarkEnd w:id="33"/>
    </w:p>
    <w:p>
      <w:pPr>
        <w:pageBreakBefore w:val="0"/>
        <w:kinsoku/>
        <w:wordWrap/>
        <w:overflowPunct/>
        <w:topLinePunct w:val="0"/>
        <w:bidi w:val="0"/>
        <w:spacing w:line="578"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pageBreakBefore w:val="0"/>
        <w:kinsoku/>
        <w:wordWrap/>
        <w:overflowPunct/>
        <w:topLinePunct w:val="0"/>
        <w:bidi w:val="0"/>
        <w:spacing w:line="578" w:lineRule="exact"/>
        <w:ind w:firstLine="640" w:firstLineChars="20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w:t>
      </w:r>
      <w:r>
        <w:rPr>
          <w:rFonts w:hint="eastAsia" w:ascii="仿宋" w:hAnsi="仿宋" w:eastAsia="仿宋"/>
          <w:color w:val="auto"/>
          <w:sz w:val="32"/>
          <w:szCs w:val="32"/>
          <w:lang w:val="en-US" w:eastAsia="zh-CN"/>
        </w:rPr>
        <w:t>133.51</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98.65</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w:t>
      </w:r>
      <w:r>
        <w:rPr>
          <w:rFonts w:hint="eastAsia" w:ascii="仿宋" w:hAnsi="仿宋" w:eastAsia="仿宋"/>
          <w:color w:val="auto"/>
          <w:sz w:val="32"/>
          <w:szCs w:val="32"/>
        </w:rPr>
        <w:t>20年相比，一般公共预算财政拨款支出减少</w:t>
      </w:r>
      <w:r>
        <w:rPr>
          <w:rFonts w:hint="eastAsia" w:ascii="仿宋" w:hAnsi="仿宋" w:eastAsia="仿宋"/>
          <w:color w:val="auto"/>
          <w:sz w:val="32"/>
          <w:szCs w:val="32"/>
          <w:lang w:val="en-US" w:eastAsia="zh-CN"/>
        </w:rPr>
        <w:t>36.2</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27.11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drawing>
          <wp:anchor distT="0" distB="0" distL="114300" distR="114300" simplePos="0" relativeHeight="251663360" behindDoc="0" locked="0" layoutInCell="1" allowOverlap="1">
            <wp:simplePos x="0" y="0"/>
            <wp:positionH relativeFrom="column">
              <wp:posOffset>1165225</wp:posOffset>
            </wp:positionH>
            <wp:positionV relativeFrom="paragraph">
              <wp:posOffset>211455</wp:posOffset>
            </wp:positionV>
            <wp:extent cx="3219450" cy="1906270"/>
            <wp:effectExtent l="4445" t="4445" r="14605" b="1333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578"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（图5：一般公共预算财政拨款支出决算变动情况）（柱状图）</w:t>
      </w:r>
    </w:p>
    <w:p>
      <w:pPr>
        <w:pageBreakBefore w:val="0"/>
        <w:kinsoku/>
        <w:wordWrap/>
        <w:overflowPunct/>
        <w:topLinePunct w:val="0"/>
        <w:bidi w:val="0"/>
        <w:spacing w:line="578" w:lineRule="exact"/>
        <w:ind w:firstLine="643"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pageBreakBefore w:val="0"/>
        <w:kinsoku/>
        <w:wordWrap/>
        <w:overflowPunct/>
        <w:topLinePunct w:val="0"/>
        <w:bidi w:val="0"/>
        <w:spacing w:line="578"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w:t>
      </w:r>
      <w:r>
        <w:rPr>
          <w:rFonts w:hint="eastAsia" w:ascii="仿宋" w:hAnsi="仿宋" w:eastAsia="仿宋"/>
          <w:color w:val="auto"/>
          <w:sz w:val="32"/>
          <w:szCs w:val="32"/>
          <w:lang w:val="en-US" w:eastAsia="zh-CN"/>
        </w:rPr>
        <w:t>133.51</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121.85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91.27</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4.56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3.42</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bCs/>
          <w:color w:val="auto"/>
          <w:sz w:val="32"/>
          <w:szCs w:val="32"/>
          <w:lang w:val="en-US" w:eastAsia="zh-CN"/>
        </w:rPr>
        <w:t>3.68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2.75</w:t>
      </w:r>
      <w:r>
        <w:rPr>
          <w:rFonts w:ascii="仿宋" w:hAnsi="仿宋" w:eastAsia="仿宋"/>
          <w:color w:val="auto"/>
          <w:sz w:val="32"/>
          <w:szCs w:val="32"/>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3.42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drawing>
          <wp:anchor distT="0" distB="0" distL="114300" distR="114300" simplePos="0" relativeHeight="251664384" behindDoc="0" locked="0" layoutInCell="1" allowOverlap="1">
            <wp:simplePos x="0" y="0"/>
            <wp:positionH relativeFrom="column">
              <wp:posOffset>861060</wp:posOffset>
            </wp:positionH>
            <wp:positionV relativeFrom="paragraph">
              <wp:posOffset>154940</wp:posOffset>
            </wp:positionV>
            <wp:extent cx="4248785" cy="2423795"/>
            <wp:effectExtent l="5080" t="5080" r="13335" b="95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78"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（图6：一般公共预算财政拨款支出决算结构）（饼状图）</w:t>
      </w:r>
    </w:p>
    <w:p>
      <w:pPr>
        <w:pageBreakBefore w:val="0"/>
        <w:kinsoku/>
        <w:wordWrap/>
        <w:overflowPunct/>
        <w:topLinePunct w:val="0"/>
        <w:bidi w:val="0"/>
        <w:spacing w:line="578" w:lineRule="exact"/>
        <w:ind w:firstLine="643" w:firstLineChars="200"/>
        <w:jc w:val="left"/>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pageBreakBefore w:val="0"/>
        <w:kinsoku/>
        <w:wordWrap/>
        <w:overflowPunct/>
        <w:topLinePunct w:val="0"/>
        <w:bidi w:val="0"/>
        <w:spacing w:line="578" w:lineRule="exact"/>
        <w:ind w:firstLine="643" w:firstLineChars="200"/>
        <w:outlineLvl w:val="2"/>
        <w:rPr>
          <w:rFonts w:ascii="仿宋" w:hAnsi="仿宋" w:eastAsia="仿宋"/>
          <w:color w:val="auto"/>
          <w:sz w:val="32"/>
          <w:szCs w:val="32"/>
        </w:rPr>
      </w:pPr>
      <w:bookmarkStart w:id="37" w:name="_Toc15377213"/>
      <w:bookmarkStart w:id="38" w:name="_Toc15377444"/>
      <w:bookmarkStart w:id="39" w:name="_Toc15378460"/>
      <w:r>
        <w:rPr>
          <w:rFonts w:hint="eastAsia" w:ascii="仿宋" w:hAnsi="仿宋" w:eastAsia="仿宋"/>
          <w:b/>
          <w:color w:val="auto"/>
          <w:sz w:val="32"/>
          <w:szCs w:val="32"/>
        </w:rPr>
        <w:t>2021年一般公共预算支出决算数为</w:t>
      </w:r>
      <w:r>
        <w:rPr>
          <w:rFonts w:hint="eastAsia" w:ascii="仿宋" w:hAnsi="仿宋" w:eastAsia="仿宋"/>
          <w:b/>
          <w:color w:val="auto"/>
          <w:sz w:val="32"/>
          <w:szCs w:val="32"/>
          <w:lang w:val="en-US" w:eastAsia="zh-CN"/>
        </w:rPr>
        <w:t>133.51</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7"/>
      <w:bookmarkEnd w:id="38"/>
      <w:bookmarkEnd w:id="39"/>
    </w:p>
    <w:p>
      <w:pPr>
        <w:pageBreakBefore w:val="0"/>
        <w:kinsoku/>
        <w:wordWrap/>
        <w:overflowPunct/>
        <w:topLinePunct w:val="0"/>
        <w:bidi w:val="0"/>
        <w:spacing w:line="578" w:lineRule="exact"/>
        <w:ind w:firstLine="643" w:firstLineChars="200"/>
        <w:rPr>
          <w:rFonts w:ascii="仿宋" w:hAnsi="仿宋" w:eastAsia="仿宋"/>
          <w:b/>
          <w:color w:val="auto"/>
          <w:sz w:val="32"/>
          <w:szCs w:val="32"/>
        </w:rPr>
      </w:pPr>
      <w:r>
        <w:rPr>
          <w:rStyle w:val="17"/>
          <w:rFonts w:ascii="仿宋" w:hAnsi="仿宋" w:eastAsia="仿宋"/>
          <w:bCs/>
          <w:color w:val="auto"/>
          <w:sz w:val="32"/>
          <w:szCs w:val="32"/>
        </w:rPr>
        <w:t>1.</w:t>
      </w:r>
      <w:r>
        <w:rPr>
          <w:rFonts w:hint="eastAsia" w:ascii="仿宋" w:hAnsi="仿宋" w:eastAsia="仿宋" w:cs="宋体"/>
          <w:bCs/>
          <w:color w:val="auto"/>
          <w:kern w:val="0"/>
          <w:sz w:val="32"/>
          <w:szCs w:val="32"/>
        </w:rPr>
        <w:t>一般公共服务支出（类）民主党派及工商联事务（款）行政运行（项）（2012801）</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69.6</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Cs/>
          <w:color w:val="auto"/>
          <w:sz w:val="32"/>
          <w:szCs w:val="32"/>
        </w:rPr>
        <w:t>决算数与预算数持平</w:t>
      </w:r>
      <w:r>
        <w:rPr>
          <w:rStyle w:val="17"/>
          <w:rFonts w:hint="eastAsia" w:ascii="仿宋" w:hAnsi="仿宋" w:eastAsia="仿宋"/>
          <w:b w:val="0"/>
          <w:bCs/>
          <w:color w:val="auto"/>
          <w:sz w:val="32"/>
          <w:szCs w:val="32"/>
        </w:rPr>
        <w:t>。</w:t>
      </w:r>
    </w:p>
    <w:p>
      <w:pPr>
        <w:pageBreakBefore w:val="0"/>
        <w:kinsoku/>
        <w:wordWrap/>
        <w:overflowPunct/>
        <w:topLinePunct w:val="0"/>
        <w:bidi w:val="0"/>
        <w:spacing w:line="578" w:lineRule="exact"/>
        <w:ind w:firstLine="643" w:firstLineChars="200"/>
        <w:rPr>
          <w:rFonts w:ascii="仿宋" w:hAnsi="仿宋" w:eastAsia="仿宋"/>
          <w:b/>
          <w:color w:val="auto"/>
          <w:sz w:val="32"/>
          <w:szCs w:val="32"/>
        </w:rPr>
      </w:pPr>
      <w:r>
        <w:rPr>
          <w:rStyle w:val="17"/>
          <w:rFonts w:ascii="仿宋" w:hAnsi="仿宋" w:eastAsia="仿宋"/>
          <w:bCs/>
          <w:color w:val="auto"/>
          <w:sz w:val="32"/>
          <w:szCs w:val="32"/>
        </w:rPr>
        <w:t>2.</w:t>
      </w:r>
      <w:r>
        <w:rPr>
          <w:rFonts w:hint="eastAsia" w:ascii="仿宋" w:hAnsi="仿宋" w:eastAsia="仿宋" w:cs="宋体"/>
          <w:bCs/>
          <w:color w:val="auto"/>
          <w:kern w:val="0"/>
          <w:sz w:val="32"/>
          <w:szCs w:val="32"/>
        </w:rPr>
        <w:t>一般公共服务支出（类）民主党派及工商联事务（款）一般行政管理事务（项）（2012802）</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52.25</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Cs/>
          <w:color w:val="auto"/>
          <w:sz w:val="32"/>
          <w:szCs w:val="32"/>
        </w:rPr>
        <w:t>决算数与预算数持平</w:t>
      </w:r>
      <w:r>
        <w:rPr>
          <w:rStyle w:val="17"/>
          <w:rFonts w:hint="eastAsia" w:ascii="仿宋" w:hAnsi="仿宋" w:eastAsia="仿宋"/>
          <w:b w:val="0"/>
          <w:bCs/>
          <w:color w:val="auto"/>
          <w:sz w:val="32"/>
          <w:szCs w:val="32"/>
        </w:rPr>
        <w:t>。</w:t>
      </w:r>
    </w:p>
    <w:p>
      <w:pPr>
        <w:pageBreakBefore w:val="0"/>
        <w:kinsoku/>
        <w:wordWrap/>
        <w:overflowPunct/>
        <w:topLinePunct w:val="0"/>
        <w:bidi w:val="0"/>
        <w:spacing w:line="578" w:lineRule="exact"/>
        <w:ind w:firstLine="643" w:firstLineChars="200"/>
        <w:rPr>
          <w:rFonts w:ascii="仿宋" w:hAnsi="仿宋" w:eastAsia="仿宋"/>
          <w:b/>
          <w:color w:val="auto"/>
          <w:sz w:val="32"/>
          <w:szCs w:val="32"/>
        </w:rPr>
      </w:pPr>
      <w:r>
        <w:rPr>
          <w:rStyle w:val="17"/>
          <w:rFonts w:ascii="仿宋" w:hAnsi="仿宋" w:eastAsia="仿宋"/>
          <w:bCs/>
          <w:color w:val="auto"/>
          <w:sz w:val="32"/>
          <w:szCs w:val="32"/>
        </w:rPr>
        <w:t>3.</w:t>
      </w:r>
      <w:r>
        <w:rPr>
          <w:rFonts w:hint="eastAsia" w:ascii="仿宋" w:hAnsi="仿宋" w:eastAsia="仿宋" w:cs="宋体"/>
          <w:bCs/>
          <w:color w:val="auto"/>
          <w:kern w:val="0"/>
          <w:sz w:val="32"/>
          <w:szCs w:val="32"/>
        </w:rPr>
        <w:t>社会保障和就业支出（类）行政事业单位离退休（款）机关事业单位基本养老保险缴费支出（项）（2080505）</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4.56</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Cs/>
          <w:color w:val="auto"/>
          <w:sz w:val="32"/>
          <w:szCs w:val="32"/>
        </w:rPr>
        <w:t>决算数与预算数持平</w:t>
      </w:r>
      <w:r>
        <w:rPr>
          <w:rStyle w:val="17"/>
          <w:rFonts w:hint="eastAsia" w:ascii="仿宋" w:hAnsi="仿宋" w:eastAsia="仿宋"/>
          <w:b w:val="0"/>
          <w:bCs/>
          <w:color w:val="auto"/>
          <w:sz w:val="32"/>
          <w:szCs w:val="32"/>
        </w:rPr>
        <w:t>。</w:t>
      </w:r>
    </w:p>
    <w:p>
      <w:pPr>
        <w:pageBreakBefore w:val="0"/>
        <w:kinsoku/>
        <w:wordWrap/>
        <w:overflowPunct/>
        <w:topLinePunct w:val="0"/>
        <w:bidi w:val="0"/>
        <w:spacing w:line="578" w:lineRule="exact"/>
        <w:ind w:firstLine="643" w:firstLineChars="200"/>
        <w:rPr>
          <w:rFonts w:ascii="仿宋" w:hAnsi="仿宋" w:eastAsia="仿宋" w:cs="宋体"/>
          <w:bCs/>
          <w:color w:val="auto"/>
          <w:kern w:val="0"/>
          <w:sz w:val="32"/>
          <w:szCs w:val="32"/>
        </w:rPr>
      </w:pPr>
      <w:r>
        <w:rPr>
          <w:rStyle w:val="17"/>
          <w:rFonts w:ascii="仿宋" w:hAnsi="仿宋" w:eastAsia="仿宋"/>
          <w:bCs/>
          <w:color w:val="auto"/>
          <w:sz w:val="32"/>
          <w:szCs w:val="32"/>
        </w:rPr>
        <w:t>4.</w:t>
      </w:r>
      <w:r>
        <w:rPr>
          <w:rFonts w:hint="eastAsia" w:ascii="仿宋" w:hAnsi="仿宋" w:eastAsia="仿宋" w:cs="宋体"/>
          <w:bCs/>
          <w:color w:val="auto"/>
          <w:kern w:val="0"/>
          <w:sz w:val="32"/>
          <w:szCs w:val="32"/>
        </w:rPr>
        <w:t>医疗卫生与计划生育（类）行政事业单位医疗（款）行政单位医疗（项）（2101101）：支出决算为</w:t>
      </w:r>
      <w:r>
        <w:rPr>
          <w:rFonts w:hint="eastAsia" w:ascii="仿宋" w:hAnsi="仿宋" w:eastAsia="仿宋" w:cs="宋体"/>
          <w:bCs/>
          <w:color w:val="auto"/>
          <w:kern w:val="0"/>
          <w:sz w:val="32"/>
          <w:szCs w:val="32"/>
          <w:lang w:val="en-US" w:eastAsia="zh-CN"/>
        </w:rPr>
        <w:t>2.84</w:t>
      </w:r>
      <w:r>
        <w:rPr>
          <w:rFonts w:hint="eastAsia" w:ascii="仿宋" w:hAnsi="仿宋" w:eastAsia="仿宋" w:cs="宋体"/>
          <w:bCs/>
          <w:color w:val="auto"/>
          <w:kern w:val="0"/>
          <w:sz w:val="32"/>
          <w:szCs w:val="32"/>
        </w:rPr>
        <w:t>万元，完成预算100%</w:t>
      </w:r>
      <w:r>
        <w:rPr>
          <w:rFonts w:hint="eastAsia" w:ascii="仿宋" w:hAnsi="仿宋" w:eastAsia="仿宋" w:cs="宋体"/>
          <w:bCs/>
          <w:color w:val="auto"/>
          <w:kern w:val="0"/>
          <w:sz w:val="32"/>
          <w:szCs w:val="32"/>
          <w:lang w:eastAsia="zh-CN"/>
        </w:rPr>
        <w:t>，</w:t>
      </w:r>
      <w:r>
        <w:rPr>
          <w:rStyle w:val="17"/>
          <w:rFonts w:hint="eastAsia" w:ascii="仿宋" w:hAnsi="仿宋" w:eastAsia="仿宋"/>
          <w:bCs/>
          <w:color w:val="auto"/>
          <w:sz w:val="32"/>
          <w:szCs w:val="32"/>
        </w:rPr>
        <w:t>决算数与预算数持平。</w:t>
      </w:r>
    </w:p>
    <w:p>
      <w:pPr>
        <w:pageBreakBefore w:val="0"/>
        <w:kinsoku/>
        <w:wordWrap/>
        <w:overflowPunct/>
        <w:topLinePunct w:val="0"/>
        <w:bidi w:val="0"/>
        <w:spacing w:line="578" w:lineRule="exact"/>
        <w:ind w:firstLine="643" w:firstLineChars="200"/>
        <w:rPr>
          <w:rFonts w:ascii="仿宋" w:hAnsi="仿宋" w:eastAsia="仿宋"/>
          <w:b/>
          <w:color w:val="auto"/>
          <w:sz w:val="32"/>
          <w:szCs w:val="32"/>
        </w:rPr>
      </w:pPr>
      <w:r>
        <w:rPr>
          <w:rStyle w:val="17"/>
          <w:rFonts w:ascii="仿宋" w:hAnsi="仿宋" w:eastAsia="仿宋"/>
          <w:bCs/>
          <w:color w:val="auto"/>
          <w:sz w:val="32"/>
          <w:szCs w:val="32"/>
        </w:rPr>
        <w:t>5.</w:t>
      </w:r>
      <w:r>
        <w:rPr>
          <w:rFonts w:hint="eastAsia" w:ascii="仿宋" w:hAnsi="仿宋" w:eastAsia="仿宋" w:cs="宋体"/>
          <w:bCs/>
          <w:color w:val="auto"/>
          <w:kern w:val="0"/>
          <w:sz w:val="32"/>
          <w:szCs w:val="32"/>
        </w:rPr>
        <w:t>医疗卫生与计划生育（类）行政事业单位医疗（款）</w:t>
      </w:r>
      <w:r>
        <w:rPr>
          <w:rFonts w:hint="eastAsia" w:ascii="仿宋" w:hAnsi="仿宋" w:eastAsia="仿宋" w:cs="宋体"/>
          <w:bCs/>
          <w:color w:val="auto"/>
          <w:kern w:val="0"/>
          <w:sz w:val="32"/>
          <w:szCs w:val="32"/>
          <w:lang w:eastAsia="zh-CN"/>
        </w:rPr>
        <w:t>公务员医疗补助</w:t>
      </w:r>
      <w:r>
        <w:rPr>
          <w:rFonts w:hint="eastAsia" w:ascii="仿宋" w:hAnsi="仿宋" w:eastAsia="仿宋" w:cs="宋体"/>
          <w:bCs/>
          <w:color w:val="auto"/>
          <w:kern w:val="0"/>
          <w:sz w:val="32"/>
          <w:szCs w:val="32"/>
        </w:rPr>
        <w:t>（项）（210110</w:t>
      </w:r>
      <w:r>
        <w:rPr>
          <w:rFonts w:hint="eastAsia" w:ascii="仿宋" w:hAnsi="仿宋" w:eastAsia="仿宋" w:cs="宋体"/>
          <w:bCs/>
          <w:color w:val="auto"/>
          <w:kern w:val="0"/>
          <w:sz w:val="32"/>
          <w:szCs w:val="32"/>
          <w:lang w:val="en-US" w:eastAsia="zh-CN"/>
        </w:rPr>
        <w:t>3</w:t>
      </w:r>
      <w:r>
        <w:rPr>
          <w:rFonts w:hint="eastAsia" w:ascii="仿宋" w:hAnsi="仿宋" w:eastAsia="仿宋" w:cs="宋体"/>
          <w:bCs/>
          <w:color w:val="auto"/>
          <w:kern w:val="0"/>
          <w:sz w:val="32"/>
          <w:szCs w:val="32"/>
        </w:rPr>
        <w:t>）：</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0.84</w:t>
      </w:r>
      <w:r>
        <w:rPr>
          <w:rStyle w:val="17"/>
          <w:rFonts w:hint="eastAsia" w:ascii="仿宋" w:hAnsi="仿宋" w:eastAsia="仿宋"/>
          <w:b w:val="0"/>
          <w:bCs/>
          <w:color w:val="auto"/>
          <w:sz w:val="32"/>
          <w:szCs w:val="32"/>
        </w:rPr>
        <w:t>万元，完成预算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Style w:val="17"/>
          <w:rFonts w:hint="eastAsia" w:ascii="仿宋" w:hAnsi="仿宋" w:eastAsia="仿宋"/>
          <w:bCs/>
          <w:color w:val="auto"/>
          <w:sz w:val="32"/>
          <w:szCs w:val="32"/>
        </w:rPr>
        <w:t>决算数与预算数持平</w:t>
      </w:r>
      <w:r>
        <w:rPr>
          <w:rStyle w:val="17"/>
          <w:rFonts w:hint="eastAsia" w:ascii="仿宋" w:hAnsi="仿宋" w:eastAsia="仿宋"/>
          <w:b w:val="0"/>
          <w:bCs/>
          <w:color w:val="auto"/>
          <w:sz w:val="32"/>
          <w:szCs w:val="32"/>
        </w:rPr>
        <w:t>。</w:t>
      </w:r>
    </w:p>
    <w:p>
      <w:pPr>
        <w:pageBreakBefore w:val="0"/>
        <w:kinsoku/>
        <w:wordWrap/>
        <w:overflowPunct/>
        <w:topLinePunct w:val="0"/>
        <w:bidi w:val="0"/>
        <w:spacing w:line="578" w:lineRule="exact"/>
        <w:ind w:firstLine="643" w:firstLineChars="200"/>
        <w:rPr>
          <w:rFonts w:ascii="仿宋" w:hAnsi="仿宋" w:eastAsia="仿宋"/>
          <w:b/>
          <w:color w:val="auto"/>
          <w:sz w:val="32"/>
          <w:szCs w:val="32"/>
        </w:rPr>
      </w:pPr>
      <w:r>
        <w:rPr>
          <w:rStyle w:val="17"/>
          <w:rFonts w:ascii="仿宋" w:hAnsi="仿宋" w:eastAsia="仿宋"/>
          <w:bCs/>
          <w:color w:val="auto"/>
          <w:sz w:val="32"/>
          <w:szCs w:val="32"/>
        </w:rPr>
        <w:t>6.</w:t>
      </w:r>
      <w:r>
        <w:rPr>
          <w:rFonts w:hint="eastAsia" w:ascii="仿宋" w:hAnsi="仿宋" w:eastAsia="仿宋" w:cs="宋体"/>
          <w:bCs/>
          <w:color w:val="auto"/>
          <w:kern w:val="0"/>
          <w:sz w:val="32"/>
          <w:szCs w:val="32"/>
        </w:rPr>
        <w:t>住房保障支出（类）住房改革支出（款）住房公积金（项）（2210201）：支出决算为</w:t>
      </w:r>
      <w:r>
        <w:rPr>
          <w:rFonts w:hint="eastAsia" w:ascii="仿宋" w:hAnsi="仿宋" w:eastAsia="仿宋" w:cs="宋体"/>
          <w:bCs/>
          <w:color w:val="auto"/>
          <w:kern w:val="0"/>
          <w:sz w:val="32"/>
          <w:szCs w:val="32"/>
          <w:lang w:val="en-US" w:eastAsia="zh-CN"/>
        </w:rPr>
        <w:t>3.42</w:t>
      </w:r>
      <w:r>
        <w:rPr>
          <w:rFonts w:hint="eastAsia" w:ascii="仿宋" w:hAnsi="仿宋" w:eastAsia="仿宋" w:cs="宋体"/>
          <w:bCs/>
          <w:color w:val="auto"/>
          <w:kern w:val="0"/>
          <w:sz w:val="32"/>
          <w:szCs w:val="32"/>
        </w:rPr>
        <w:t>万元，完成预算100%</w:t>
      </w:r>
      <w:r>
        <w:rPr>
          <w:rFonts w:hint="eastAsia" w:ascii="仿宋" w:hAnsi="仿宋" w:eastAsia="仿宋" w:cs="宋体"/>
          <w:bCs/>
          <w:color w:val="auto"/>
          <w:kern w:val="0"/>
          <w:sz w:val="32"/>
          <w:szCs w:val="32"/>
          <w:lang w:eastAsia="zh-CN"/>
        </w:rPr>
        <w:t>，</w:t>
      </w:r>
      <w:r>
        <w:rPr>
          <w:rStyle w:val="17"/>
          <w:rFonts w:hint="eastAsia" w:ascii="仿宋" w:hAnsi="仿宋" w:eastAsia="仿宋"/>
          <w:bCs/>
          <w:color w:val="auto"/>
          <w:sz w:val="32"/>
          <w:szCs w:val="32"/>
        </w:rPr>
        <w:t>决算数与预算数持平</w:t>
      </w:r>
      <w:r>
        <w:rPr>
          <w:rStyle w:val="17"/>
          <w:rFonts w:hint="eastAsia" w:ascii="仿宋" w:hAnsi="仿宋" w:eastAsia="仿宋"/>
          <w:b w:val="0"/>
          <w:bCs/>
          <w:color w:val="auto"/>
          <w:sz w:val="32"/>
          <w:szCs w:val="32"/>
        </w:rPr>
        <w:t>。</w:t>
      </w:r>
    </w:p>
    <w:p>
      <w:pPr>
        <w:pageBreakBefore w:val="0"/>
        <w:tabs>
          <w:tab w:val="right" w:pos="8306"/>
        </w:tabs>
        <w:kinsoku/>
        <w:wordWrap/>
        <w:overflowPunct/>
        <w:topLinePunct w:val="0"/>
        <w:bidi w:val="0"/>
        <w:spacing w:line="578" w:lineRule="exact"/>
        <w:ind w:firstLine="640"/>
        <w:outlineLvl w:val="1"/>
        <w:rPr>
          <w:rStyle w:val="28"/>
          <w:color w:val="auto"/>
        </w:rPr>
      </w:pPr>
      <w:bookmarkStart w:id="40" w:name="_Toc15377214"/>
      <w:bookmarkStart w:id="41" w:name="_Toc15396608"/>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8"/>
          <w:rFonts w:hint="eastAsia" w:ascii="黑体" w:hAnsi="黑体" w:eastAsia="黑体"/>
          <w:b w:val="0"/>
          <w:color w:val="auto"/>
        </w:rPr>
        <w:t>般公共预算财政拨款基本支出决算情况说明</w:t>
      </w:r>
      <w:bookmarkEnd w:id="40"/>
      <w:bookmarkEnd w:id="41"/>
      <w:r>
        <w:rPr>
          <w:rStyle w:val="28"/>
          <w:rFonts w:ascii="黑体" w:hAnsi="黑体" w:eastAsia="黑体"/>
          <w:b w:val="0"/>
          <w:color w:val="auto"/>
        </w:rPr>
        <w:tab/>
      </w:r>
    </w:p>
    <w:p>
      <w:pPr>
        <w:pageBreakBefore w:val="0"/>
        <w:kinsoku/>
        <w:wordWrap/>
        <w:overflowPunct/>
        <w:topLinePunct w:val="0"/>
        <w:bidi w:val="0"/>
        <w:spacing w:line="578"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21年一般公共预算财政拨款基本支出</w:t>
      </w:r>
      <w:r>
        <w:rPr>
          <w:rFonts w:hint="eastAsia" w:ascii="仿宋" w:hAnsi="仿宋" w:eastAsia="仿宋"/>
          <w:color w:val="auto"/>
          <w:sz w:val="32"/>
          <w:szCs w:val="32"/>
          <w:lang w:val="en-US" w:eastAsia="zh-CN"/>
        </w:rPr>
        <w:t>81.26</w:t>
      </w:r>
      <w:r>
        <w:rPr>
          <w:rFonts w:hint="eastAsia" w:ascii="仿宋" w:hAnsi="仿宋" w:eastAsia="仿宋"/>
          <w:color w:val="auto"/>
          <w:sz w:val="32"/>
          <w:szCs w:val="32"/>
        </w:rPr>
        <w:t>万元，其中：</w:t>
      </w:r>
    </w:p>
    <w:p>
      <w:pPr>
        <w:pageBreakBefore w:val="0"/>
        <w:kinsoku/>
        <w:wordWrap/>
        <w:overflowPunct/>
        <w:topLinePunct w:val="0"/>
        <w:bidi w:val="0"/>
        <w:spacing w:line="578" w:lineRule="exact"/>
        <w:ind w:firstLine="645"/>
        <w:rPr>
          <w:rFonts w:ascii="仿宋" w:hAnsi="仿宋" w:eastAsia="仿宋"/>
          <w:b/>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72.66</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8.6</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8" w:lineRule="exact"/>
        <w:ind w:firstLine="640"/>
        <w:outlineLvl w:val="1"/>
        <w:rPr>
          <w:rStyle w:val="28"/>
          <w:rFonts w:ascii="黑体" w:hAnsi="黑体" w:eastAsia="黑体"/>
          <w:b w:val="0"/>
          <w:color w:val="auto"/>
        </w:rPr>
      </w:pPr>
      <w:bookmarkStart w:id="42" w:name="_Toc15396609"/>
      <w:bookmarkStart w:id="43" w:name="_Toc15377215"/>
      <w:r>
        <w:rPr>
          <w:rFonts w:hint="eastAsia" w:ascii="黑体" w:eastAsia="黑体"/>
          <w:color w:val="auto"/>
          <w:sz w:val="32"/>
          <w:szCs w:val="32"/>
        </w:rPr>
        <w:t>七、</w:t>
      </w:r>
      <w:r>
        <w:rPr>
          <w:rStyle w:val="28"/>
          <w:rFonts w:hint="eastAsia" w:ascii="黑体" w:hAnsi="黑体" w:eastAsia="黑体"/>
          <w:color w:val="auto"/>
        </w:rPr>
        <w:t>“</w:t>
      </w:r>
      <w:r>
        <w:rPr>
          <w:rStyle w:val="28"/>
          <w:rFonts w:hint="eastAsia" w:ascii="黑体" w:hAnsi="黑体" w:eastAsia="黑体"/>
          <w:b w:val="0"/>
          <w:color w:val="auto"/>
        </w:rPr>
        <w:t>三公”经费财政拨款支出决算情况说明</w:t>
      </w:r>
      <w:bookmarkEnd w:id="42"/>
      <w:bookmarkEnd w:id="43"/>
    </w:p>
    <w:p>
      <w:pPr>
        <w:pageBreakBefore w:val="0"/>
        <w:kinsoku/>
        <w:wordWrap/>
        <w:overflowPunct/>
        <w:topLinePunct w:val="0"/>
        <w:bidi w:val="0"/>
        <w:spacing w:line="578"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pageBreakBefore w:val="0"/>
        <w:kinsoku/>
        <w:wordWrap/>
        <w:overflowPunct/>
        <w:topLinePunct w:val="0"/>
        <w:bidi w:val="0"/>
        <w:spacing w:line="578"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21年“三公”经费财政拨款支出决算为</w:t>
      </w:r>
      <w:r>
        <w:rPr>
          <w:rFonts w:hint="eastAsia" w:ascii="仿宋" w:hAnsi="仿宋" w:eastAsia="仿宋"/>
          <w:color w:val="auto"/>
          <w:sz w:val="32"/>
          <w:szCs w:val="32"/>
          <w:lang w:val="en-US" w:eastAsia="zh-CN"/>
        </w:rPr>
        <w:t>1.78</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r>
        <w:rPr>
          <w:rStyle w:val="17"/>
          <w:rFonts w:hint="eastAsia" w:ascii="仿宋" w:hAnsi="仿宋" w:eastAsia="仿宋"/>
          <w:bCs/>
          <w:color w:val="auto"/>
          <w:sz w:val="32"/>
          <w:szCs w:val="32"/>
        </w:rPr>
        <w:t>决</w:t>
      </w:r>
      <w:r>
        <w:rPr>
          <w:rFonts w:hint="eastAsia" w:ascii="仿宋" w:hAnsi="仿宋" w:eastAsia="仿宋"/>
          <w:color w:val="auto"/>
          <w:sz w:val="32"/>
          <w:szCs w:val="32"/>
        </w:rPr>
        <w:t>算数与预算数持平。</w:t>
      </w:r>
    </w:p>
    <w:p>
      <w:pPr>
        <w:pageBreakBefore w:val="0"/>
        <w:kinsoku/>
        <w:wordWrap/>
        <w:overflowPunct/>
        <w:topLinePunct w:val="0"/>
        <w:bidi w:val="0"/>
        <w:spacing w:line="578"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pageBreakBefore w:val="0"/>
        <w:kinsoku/>
        <w:wordWrap/>
        <w:overflowPunct/>
        <w:topLinePunct w:val="0"/>
        <w:bidi w:val="0"/>
        <w:spacing w:line="578"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21年“三公”经费财政拨款支出决算中，因公出国（境）费支出决算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1.78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。具体情况如下：</w:t>
      </w:r>
    </w:p>
    <w:p>
      <w:pPr>
        <w:pageBreakBefore w:val="0"/>
        <w:kinsoku/>
        <w:wordWrap/>
        <w:overflowPunct/>
        <w:topLinePunct w:val="0"/>
        <w:bidi w:val="0"/>
        <w:spacing w:line="578"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（图7：“三公”经费财政拨款支出结构）（饼状图）</w:t>
      </w:r>
    </w:p>
    <w:p>
      <w:pPr>
        <w:pageBreakBefore w:val="0"/>
        <w:kinsoku/>
        <w:wordWrap/>
        <w:overflowPunct/>
        <w:topLinePunct w:val="0"/>
        <w:bidi w:val="0"/>
        <w:spacing w:line="578" w:lineRule="exact"/>
        <w:ind w:firstLine="640"/>
        <w:rPr>
          <w:rFonts w:ascii="仿宋_GB2312" w:eastAsia="仿宋_GB2312"/>
          <w:b/>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w:t>
      </w:r>
    </w:p>
    <w:p>
      <w:pPr>
        <w:pageBreakBefore w:val="0"/>
        <w:kinsoku/>
        <w:wordWrap/>
        <w:overflowPunct/>
        <w:topLinePunct w:val="0"/>
        <w:bidi w:val="0"/>
        <w:spacing w:line="578"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rPr>
        <w:t>0万元,</w:t>
      </w:r>
      <w:r>
        <w:rPr>
          <w:rStyle w:val="17"/>
          <w:rFonts w:hint="eastAsia" w:ascii="仿宋" w:hAnsi="仿宋" w:eastAsia="仿宋"/>
          <w:b w:val="0"/>
          <w:bCs/>
          <w:color w:val="auto"/>
          <w:sz w:val="32"/>
          <w:szCs w:val="32"/>
        </w:rPr>
        <w:t>完成预算0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w:t>
      </w:r>
      <w:r>
        <w:rPr>
          <w:rFonts w:hint="eastAsia" w:ascii="仿宋_GB2312" w:eastAsia="仿宋_GB2312"/>
          <w:color w:val="auto"/>
          <w:sz w:val="32"/>
          <w:szCs w:val="32"/>
        </w:rPr>
        <w:t>20年持平。主要原因是未购置公务用车。</w:t>
      </w:r>
    </w:p>
    <w:p>
      <w:pPr>
        <w:pageBreakBefore w:val="0"/>
        <w:numPr>
          <w:ilvl w:val="0"/>
          <w:numId w:val="0"/>
        </w:numPr>
        <w:kinsoku/>
        <w:wordWrap/>
        <w:overflowPunct/>
        <w:topLinePunct w:val="0"/>
        <w:bidi w:val="0"/>
        <w:spacing w:line="578" w:lineRule="exact"/>
        <w:ind w:firstLine="643" w:firstLineChars="200"/>
        <w:rPr>
          <w:rFonts w:hint="eastAsia" w:ascii="仿宋_GB2312" w:eastAsia="仿宋_GB2312"/>
          <w:color w:val="auto"/>
          <w:sz w:val="32"/>
          <w:szCs w:val="32"/>
          <w:lang w:eastAsia="zh-CN"/>
        </w:rPr>
      </w:pPr>
      <w:r>
        <w:rPr>
          <w:rFonts w:hint="eastAsia" w:ascii="仿宋_GB2312" w:eastAsia="仿宋_GB2312"/>
          <w:b/>
          <w:color w:val="auto"/>
          <w:sz w:val="32"/>
          <w:szCs w:val="32"/>
          <w:lang w:val="en-US" w:eastAsia="zh-CN"/>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1.78</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rStyle w:val="17"/>
          <w:rFonts w:hint="eastAsia" w:ascii="仿宋" w:hAnsi="仿宋" w:eastAsia="仿宋"/>
          <w:b w:val="0"/>
          <w:bCs/>
          <w:color w:val="auto"/>
          <w:sz w:val="32"/>
          <w:szCs w:val="32"/>
          <w:lang w:val="en-US" w:eastAsia="zh-CN"/>
        </w:rPr>
        <w:t>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公务接待费支出决算</w:t>
      </w:r>
      <w:r>
        <w:rPr>
          <w:rFonts w:hint="eastAsia" w:ascii="仿宋_GB2312" w:eastAsia="仿宋_GB2312"/>
          <w:color w:val="auto"/>
          <w:sz w:val="32"/>
          <w:szCs w:val="32"/>
          <w:lang w:eastAsia="zh-CN"/>
        </w:rPr>
        <w:t>与</w:t>
      </w:r>
      <w:r>
        <w:rPr>
          <w:rFonts w:ascii="仿宋_GB2312" w:eastAsia="仿宋_GB2312"/>
          <w:color w:val="auto"/>
          <w:sz w:val="32"/>
          <w:szCs w:val="32"/>
        </w:rPr>
        <w:t>20</w:t>
      </w:r>
      <w:r>
        <w:rPr>
          <w:rFonts w:hint="eastAsia" w:ascii="仿宋_GB2312" w:eastAsia="仿宋_GB2312"/>
          <w:color w:val="auto"/>
          <w:sz w:val="32"/>
          <w:szCs w:val="32"/>
        </w:rPr>
        <w:t>20年</w:t>
      </w:r>
      <w:r>
        <w:rPr>
          <w:rFonts w:hint="eastAsia" w:ascii="仿宋_GB2312" w:eastAsia="仿宋_GB2312"/>
          <w:color w:val="auto"/>
          <w:sz w:val="32"/>
          <w:szCs w:val="32"/>
          <w:lang w:eastAsia="zh-CN"/>
        </w:rPr>
        <w:t>持平。</w:t>
      </w:r>
    </w:p>
    <w:p>
      <w:pPr>
        <w:pageBreakBefore w:val="0"/>
        <w:numPr>
          <w:ilvl w:val="0"/>
          <w:numId w:val="0"/>
        </w:numPr>
        <w:kinsoku/>
        <w:wordWrap/>
        <w:overflowPunct/>
        <w:topLinePunct w:val="0"/>
        <w:bidi w:val="0"/>
        <w:spacing w:line="578" w:lineRule="exact"/>
        <w:ind w:left="672" w:leftChars="0"/>
        <w:jc w:val="left"/>
        <w:rPr>
          <w:rFonts w:hint="eastAsia" w:ascii="仿宋_GB2312" w:eastAsia="仿宋_GB2312"/>
          <w:color w:val="auto"/>
          <w:sz w:val="32"/>
          <w:szCs w:val="32"/>
          <w:lang w:eastAsia="zh-CN"/>
        </w:rPr>
      </w:pPr>
      <w:r>
        <w:rPr>
          <w:rFonts w:hint="eastAsia" w:ascii="仿宋_GB2312" w:eastAsia="仿宋_GB2312"/>
          <w:color w:val="auto"/>
          <w:sz w:val="32"/>
          <w:szCs w:val="32"/>
        </w:rPr>
        <w:t>其中：</w:t>
      </w: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1.78</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省市工商联、友好工商联考察学习。</w:t>
      </w:r>
    </w:p>
    <w:p>
      <w:pPr>
        <w:pageBreakBefore w:val="0"/>
        <w:kinsoku/>
        <w:wordWrap/>
        <w:overflowPunct/>
        <w:topLinePunct w:val="0"/>
        <w:bidi w:val="0"/>
        <w:spacing w:line="578" w:lineRule="exact"/>
        <w:ind w:firstLine="640"/>
        <w:outlineLvl w:val="1"/>
        <w:rPr>
          <w:rFonts w:hint="eastAsia" w:ascii="仿宋_GB2312" w:eastAsia="仿宋_GB2312"/>
          <w:color w:val="auto"/>
          <w:sz w:val="32"/>
          <w:szCs w:val="32"/>
          <w:lang w:eastAsia="zh-CN"/>
        </w:rPr>
      </w:pPr>
      <w:r>
        <w:rPr>
          <w:rFonts w:hint="eastAsia" w:ascii="仿宋" w:hAnsi="仿宋" w:eastAsia="仿宋"/>
          <w:b/>
          <w:color w:val="auto"/>
          <w:sz w:val="32"/>
          <w:szCs w:val="32"/>
          <w:lang w:val="en-US" w:eastAsia="zh-CN"/>
        </w:rPr>
        <w:t>4.</w:t>
      </w: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w:t>
      </w:r>
      <w:bookmarkStart w:id="46" w:name="_Toc15396610"/>
      <w:bookmarkStart w:id="47" w:name="_Toc15377218"/>
      <w:r>
        <w:rPr>
          <w:rFonts w:hint="eastAsia" w:ascii="仿宋_GB2312" w:eastAsia="仿宋_GB2312"/>
          <w:color w:val="auto"/>
          <w:sz w:val="32"/>
          <w:szCs w:val="32"/>
          <w:lang w:eastAsia="zh-CN"/>
        </w:rPr>
        <w:t>。</w:t>
      </w:r>
    </w:p>
    <w:p>
      <w:pPr>
        <w:pageBreakBefore w:val="0"/>
        <w:kinsoku/>
        <w:wordWrap/>
        <w:overflowPunct/>
        <w:topLinePunct w:val="0"/>
        <w:bidi w:val="0"/>
        <w:spacing w:line="578" w:lineRule="exact"/>
        <w:ind w:firstLine="640"/>
        <w:outlineLvl w:val="1"/>
        <w:rPr>
          <w:rStyle w:val="28"/>
          <w:rFonts w:ascii="黑体" w:hAnsi="黑体" w:eastAsia="黑体"/>
          <w:color w:val="auto"/>
        </w:rPr>
      </w:pPr>
      <w:r>
        <w:rPr>
          <w:rFonts w:hint="eastAsia" w:ascii="黑体" w:eastAsia="黑体"/>
          <w:color w:val="auto"/>
          <w:sz w:val="32"/>
          <w:szCs w:val="32"/>
        </w:rPr>
        <w:t>八、</w:t>
      </w:r>
      <w:r>
        <w:rPr>
          <w:rStyle w:val="28"/>
          <w:rFonts w:hint="eastAsia" w:ascii="黑体" w:hAnsi="黑体" w:eastAsia="黑体"/>
          <w:b w:val="0"/>
          <w:color w:val="auto"/>
        </w:rPr>
        <w:t>政府性基金预算支出决算情况说明</w:t>
      </w:r>
      <w:bookmarkEnd w:id="46"/>
      <w:bookmarkEnd w:id="47"/>
    </w:p>
    <w:p>
      <w:pPr>
        <w:pageBreakBefore w:val="0"/>
        <w:kinsoku/>
        <w:wordWrap/>
        <w:overflowPunct/>
        <w:topLinePunct w:val="0"/>
        <w:bidi w:val="0"/>
        <w:spacing w:line="578"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21年政府性基金预算财政拨款支出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ageBreakBefore w:val="0"/>
        <w:numPr>
          <w:ilvl w:val="0"/>
          <w:numId w:val="3"/>
        </w:numPr>
        <w:kinsoku/>
        <w:wordWrap/>
        <w:overflowPunct/>
        <w:topLinePunct w:val="0"/>
        <w:bidi w:val="0"/>
        <w:spacing w:line="578" w:lineRule="exact"/>
        <w:ind w:firstLine="640"/>
        <w:outlineLvl w:val="1"/>
        <w:rPr>
          <w:rStyle w:val="28"/>
          <w:rFonts w:ascii="黑体" w:hAnsi="黑体" w:eastAsia="黑体"/>
          <w:b w:val="0"/>
          <w:color w:val="auto"/>
        </w:rPr>
      </w:pPr>
      <w:bookmarkStart w:id="48" w:name="_Toc15396611"/>
      <w:bookmarkStart w:id="49" w:name="_Toc15377219"/>
      <w:r>
        <w:rPr>
          <w:rStyle w:val="28"/>
          <w:rFonts w:hint="eastAsia" w:ascii="黑体" w:hAnsi="黑体" w:eastAsia="黑体"/>
          <w:b w:val="0"/>
          <w:color w:val="auto"/>
        </w:rPr>
        <w:t>国有资本经营预算支出决算情况说明</w:t>
      </w:r>
      <w:bookmarkEnd w:id="48"/>
      <w:bookmarkEnd w:id="49"/>
    </w:p>
    <w:p>
      <w:pPr>
        <w:pageBreakBefore w:val="0"/>
        <w:kinsoku/>
        <w:wordWrap/>
        <w:overflowPunct/>
        <w:topLinePunct w:val="0"/>
        <w:bidi w:val="0"/>
        <w:spacing w:line="578"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21年国有资本经营预算财政拨款支出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ageBreakBefore w:val="0"/>
        <w:numPr>
          <w:ilvl w:val="0"/>
          <w:numId w:val="3"/>
        </w:numPr>
        <w:kinsoku/>
        <w:wordWrap/>
        <w:overflowPunct/>
        <w:topLinePunct w:val="0"/>
        <w:bidi w:val="0"/>
        <w:spacing w:line="578" w:lineRule="exact"/>
        <w:ind w:firstLine="640"/>
        <w:outlineLvl w:val="1"/>
        <w:rPr>
          <w:rStyle w:val="28"/>
          <w:rFonts w:ascii="黑体" w:hAnsi="黑体" w:eastAsia="黑体"/>
          <w:b w:val="0"/>
          <w:color w:val="auto"/>
        </w:rPr>
      </w:pPr>
      <w:bookmarkStart w:id="50" w:name="_Toc15377221"/>
      <w:bookmarkStart w:id="51" w:name="_Toc15396612"/>
      <w:r>
        <w:rPr>
          <w:rStyle w:val="28"/>
          <w:rFonts w:hint="eastAsia" w:ascii="黑体" w:hAnsi="黑体" w:eastAsia="黑体"/>
          <w:b w:val="0"/>
          <w:color w:val="auto"/>
        </w:rPr>
        <w:t>其他重要事项的情况说明</w:t>
      </w:r>
      <w:bookmarkEnd w:id="50"/>
      <w:bookmarkEnd w:id="51"/>
    </w:p>
    <w:p>
      <w:pPr>
        <w:pageBreakBefore w:val="0"/>
        <w:kinsoku/>
        <w:wordWrap/>
        <w:overflowPunct/>
        <w:topLinePunct w:val="0"/>
        <w:bidi w:val="0"/>
        <w:spacing w:line="578" w:lineRule="exact"/>
        <w:ind w:firstLine="643" w:firstLineChars="200"/>
        <w:outlineLvl w:val="2"/>
        <w:rPr>
          <w:rFonts w:ascii="仿宋" w:hAnsi="仿宋" w:eastAsia="仿宋"/>
          <w:color w:val="auto"/>
          <w:sz w:val="32"/>
          <w:szCs w:val="32"/>
        </w:rPr>
      </w:pPr>
      <w:bookmarkStart w:id="52" w:name="_Toc15377222"/>
      <w:r>
        <w:rPr>
          <w:rFonts w:hint="eastAsia" w:ascii="仿宋" w:hAnsi="仿宋" w:eastAsia="仿宋"/>
          <w:b/>
          <w:color w:val="auto"/>
          <w:sz w:val="32"/>
          <w:szCs w:val="32"/>
        </w:rPr>
        <w:t>（一）机关运行经费支出情况</w:t>
      </w:r>
      <w:bookmarkEnd w:id="52"/>
    </w:p>
    <w:p>
      <w:pPr>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w:t>
      </w:r>
      <w:r>
        <w:rPr>
          <w:rFonts w:hint="eastAsia" w:ascii="仿宋" w:hAnsi="仿宋" w:eastAsia="仿宋"/>
          <w:color w:val="auto"/>
          <w:sz w:val="32"/>
          <w:szCs w:val="32"/>
        </w:rPr>
        <w:t>本单位</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8.6</w:t>
      </w:r>
      <w:r>
        <w:rPr>
          <w:rFonts w:hint="eastAsia" w:ascii="仿宋_GB2312" w:eastAsia="仿宋_GB2312"/>
          <w:color w:val="auto"/>
          <w:sz w:val="32"/>
          <w:szCs w:val="32"/>
        </w:rPr>
        <w:t>万元，比</w:t>
      </w:r>
      <w:r>
        <w:rPr>
          <w:rFonts w:ascii="仿宋_GB2312" w:eastAsia="仿宋_GB2312"/>
          <w:color w:val="auto"/>
          <w:sz w:val="32"/>
          <w:szCs w:val="32"/>
        </w:rPr>
        <w:t>20</w:t>
      </w:r>
      <w:r>
        <w:rPr>
          <w:rFonts w:hint="eastAsia" w:ascii="仿宋_GB2312" w:eastAsia="仿宋_GB2312"/>
          <w:color w:val="auto"/>
          <w:sz w:val="32"/>
          <w:szCs w:val="32"/>
        </w:rPr>
        <w:t>20年减少</w:t>
      </w:r>
      <w:r>
        <w:rPr>
          <w:rFonts w:hint="eastAsia" w:ascii="仿宋_GB2312" w:eastAsia="仿宋_GB2312"/>
          <w:color w:val="auto"/>
          <w:sz w:val="32"/>
          <w:szCs w:val="32"/>
          <w:lang w:val="en-US" w:eastAsia="zh-CN"/>
        </w:rPr>
        <w:t>5.54</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64.42</w:t>
      </w:r>
      <w:r>
        <w:rPr>
          <w:rFonts w:ascii="仿宋_GB2312" w:eastAsia="仿宋_GB2312"/>
          <w:color w:val="auto"/>
          <w:sz w:val="32"/>
          <w:szCs w:val="32"/>
        </w:rPr>
        <w:t>%</w:t>
      </w:r>
      <w:r>
        <w:rPr>
          <w:rFonts w:hint="eastAsia" w:ascii="仿宋_GB2312" w:eastAsia="仿宋_GB2312"/>
          <w:color w:val="auto"/>
          <w:sz w:val="32"/>
          <w:szCs w:val="32"/>
        </w:rPr>
        <w:t>。</w:t>
      </w:r>
    </w:p>
    <w:p>
      <w:pPr>
        <w:pageBreakBefore w:val="0"/>
        <w:kinsoku/>
        <w:wordWrap/>
        <w:overflowPunct/>
        <w:topLinePunct w:val="0"/>
        <w:bidi w:val="0"/>
        <w:spacing w:line="578"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ascii="仿宋" w:hAnsi="仿宋" w:eastAsia="仿宋"/>
          <w:b/>
          <w:color w:val="auto"/>
          <w:sz w:val="32"/>
          <w:szCs w:val="32"/>
        </w:rPr>
      </w:pPr>
      <w:bookmarkStart w:id="53" w:name="_Toc15377223"/>
      <w:r>
        <w:rPr>
          <w:rFonts w:hint="eastAsia" w:ascii="仿宋" w:hAnsi="仿宋" w:eastAsia="仿宋"/>
          <w:b/>
          <w:color w:val="auto"/>
          <w:sz w:val="32"/>
          <w:szCs w:val="32"/>
        </w:rPr>
        <w:t>（二）政府采购支出情况</w:t>
      </w:r>
      <w:bookmarkEnd w:id="53"/>
    </w:p>
    <w:p>
      <w:pPr>
        <w:pageBreakBefore w:val="0"/>
        <w:kinsoku/>
        <w:wordWrap/>
        <w:overflowPunct/>
        <w:topLinePunct w:val="0"/>
        <w:bidi w:val="0"/>
        <w:spacing w:line="578" w:lineRule="exact"/>
        <w:ind w:firstLine="640" w:firstLineChars="200"/>
        <w:rPr>
          <w:rFonts w:ascii="仿宋" w:hAnsi="仿宋" w:eastAsia="仿宋"/>
          <w:b/>
          <w:color w:val="auto"/>
          <w:sz w:val="32"/>
          <w:szCs w:val="32"/>
        </w:rPr>
      </w:pPr>
      <w:r>
        <w:rPr>
          <w:rFonts w:ascii="仿宋_GB2312" w:eastAsia="仿宋_GB2312"/>
          <w:color w:val="auto"/>
          <w:sz w:val="32"/>
          <w:szCs w:val="32"/>
        </w:rPr>
        <w:t>20</w:t>
      </w:r>
      <w:r>
        <w:rPr>
          <w:rFonts w:hint="eastAsia" w:ascii="仿宋_GB2312" w:eastAsia="仿宋_GB2312"/>
          <w:color w:val="auto"/>
          <w:sz w:val="32"/>
          <w:szCs w:val="32"/>
        </w:rPr>
        <w:t>21年，</w:t>
      </w:r>
      <w:r>
        <w:rPr>
          <w:rFonts w:hint="eastAsia" w:ascii="仿宋" w:hAnsi="仿宋" w:eastAsia="仿宋"/>
          <w:color w:val="auto"/>
          <w:sz w:val="32"/>
          <w:szCs w:val="32"/>
        </w:rPr>
        <w:t>本单位</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pPr>
        <w:pageBreakBefore w:val="0"/>
        <w:kinsoku/>
        <w:wordWrap/>
        <w:overflowPunct/>
        <w:topLinePunct w:val="0"/>
        <w:autoSpaceDE w:val="0"/>
        <w:autoSpaceDN w:val="0"/>
        <w:bidi w:val="0"/>
        <w:adjustRightInd w:val="0"/>
        <w:spacing w:line="578"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rPr>
        <w:t>21年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 w:hAnsi="仿宋" w:eastAsia="仿宋"/>
          <w:color w:val="auto"/>
          <w:sz w:val="32"/>
          <w:szCs w:val="32"/>
        </w:rPr>
        <w:t>本单位</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辆……其他用车主要是用于……单价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pageBreakBefore w:val="0"/>
        <w:kinsoku/>
        <w:wordWrap/>
        <w:overflowPunct/>
        <w:topLinePunct w:val="0"/>
        <w:autoSpaceDE w:val="0"/>
        <w:autoSpaceDN w:val="0"/>
        <w:bidi w:val="0"/>
        <w:adjustRightInd w:val="0"/>
        <w:spacing w:line="578" w:lineRule="exact"/>
        <w:ind w:firstLine="640" w:firstLineChars="200"/>
        <w:jc w:val="lef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根据预算绩效管理要求，本部门在2021年度预算编制阶段，组织对</w:t>
      </w:r>
      <w:r>
        <w:rPr>
          <w:rFonts w:hint="eastAsia" w:ascii="仿宋_GB2312" w:hAnsi="Times New Roman" w:eastAsia="仿宋_GB2312" w:cs="Times New Roman"/>
          <w:color w:val="auto"/>
          <w:sz w:val="32"/>
          <w:szCs w:val="32"/>
          <w:lang w:val="en-US" w:eastAsia="zh-CN"/>
        </w:rPr>
        <w:t>经常性</w:t>
      </w:r>
      <w:r>
        <w:rPr>
          <w:rFonts w:hint="eastAsia" w:ascii="仿宋_GB2312" w:hAnsi="Times New Roman" w:eastAsia="仿宋_GB2312" w:cs="Times New Roman"/>
          <w:color w:val="auto"/>
          <w:sz w:val="32"/>
          <w:szCs w:val="32"/>
        </w:rPr>
        <w:t>项目（项目名称）等</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个项目开展了预算事前绩效评估，对</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个项目编制了绩效目标，预算执行过程中，选取</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个项目开展绩效监控，年终执行完毕后，对</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个项目开展了绩效自评。同时，本部门对2021年部门整体开展绩效自评，《2021</w:t>
      </w:r>
      <w:r>
        <w:rPr>
          <w:rFonts w:hint="eastAsia" w:ascii="仿宋_GB2312" w:hAnsi="Times New Roman" w:eastAsia="仿宋_GB2312" w:cs="Times New Roman"/>
          <w:color w:val="auto"/>
          <w:sz w:val="32"/>
          <w:szCs w:val="32"/>
          <w:lang w:eastAsia="zh-CN"/>
        </w:rPr>
        <w:t>泸县工商联</w:t>
      </w:r>
      <w:r>
        <w:rPr>
          <w:rFonts w:hint="eastAsia" w:ascii="仿宋_GB2312" w:hAnsi="Times New Roman" w:eastAsia="仿宋_GB2312" w:cs="Times New Roman"/>
          <w:color w:val="auto"/>
          <w:sz w:val="32"/>
          <w:szCs w:val="32"/>
        </w:rPr>
        <w:t>整体绩效评价报告》见附件（第四部分）。</w:t>
      </w:r>
    </w:p>
    <w:p>
      <w:pPr>
        <w:pageBreakBefore w:val="0"/>
        <w:widowControl/>
        <w:kinsoku/>
        <w:wordWrap/>
        <w:overflowPunct/>
        <w:topLinePunct w:val="0"/>
        <w:bidi w:val="0"/>
        <w:spacing w:line="578" w:lineRule="exact"/>
        <w:jc w:val="left"/>
        <w:rPr>
          <w:rFonts w:ascii="仿宋_GB2312" w:eastAsia="仿宋_GB2312"/>
          <w:b/>
          <w:color w:val="auto"/>
          <w:sz w:val="32"/>
          <w:szCs w:val="32"/>
        </w:rPr>
      </w:pPr>
      <w:r>
        <w:rPr>
          <w:rFonts w:ascii="仿宋_GB2312" w:eastAsia="仿宋_GB2312"/>
          <w:b/>
          <w:color w:val="auto"/>
          <w:sz w:val="32"/>
          <w:szCs w:val="32"/>
        </w:rPr>
        <w:br w:type="page"/>
      </w:r>
    </w:p>
    <w:p>
      <w:pPr>
        <w:pageBreakBefore w:val="0"/>
        <w:numPr>
          <w:ilvl w:val="0"/>
          <w:numId w:val="4"/>
        </w:numPr>
        <w:kinsoku/>
        <w:wordWrap/>
        <w:overflowPunct/>
        <w:topLinePunct w:val="0"/>
        <w:bidi w:val="0"/>
        <w:spacing w:line="578" w:lineRule="exact"/>
        <w:ind w:firstLine="660" w:firstLineChars="150"/>
        <w:jc w:val="center"/>
        <w:outlineLvl w:val="0"/>
        <w:rPr>
          <w:rStyle w:val="27"/>
          <w:rFonts w:ascii="黑体" w:hAnsi="黑体" w:eastAsia="黑体"/>
          <w:b w:val="0"/>
          <w:color w:val="auto"/>
        </w:rPr>
      </w:pPr>
      <w:bookmarkStart w:id="55" w:name="_Toc15377225"/>
      <w:bookmarkStart w:id="56" w:name="_Toc15396613"/>
      <w:r>
        <w:rPr>
          <w:rFonts w:hint="eastAsia" w:ascii="黑体" w:hAnsi="黑体" w:eastAsia="黑体"/>
          <w:color w:val="auto"/>
          <w:sz w:val="44"/>
          <w:szCs w:val="44"/>
        </w:rPr>
        <w:t>名</w:t>
      </w:r>
      <w:r>
        <w:rPr>
          <w:rStyle w:val="27"/>
          <w:rFonts w:hint="eastAsia" w:ascii="黑体" w:hAnsi="黑体" w:eastAsia="黑体"/>
          <w:b w:val="0"/>
          <w:color w:val="auto"/>
        </w:rPr>
        <w:t>词解释</w:t>
      </w:r>
      <w:bookmarkEnd w:id="55"/>
      <w:bookmarkEnd w:id="56"/>
    </w:p>
    <w:p>
      <w:pPr>
        <w:pageBreakBefore w:val="0"/>
        <w:kinsoku/>
        <w:wordWrap/>
        <w:overflowPunct/>
        <w:topLinePunct w:val="0"/>
        <w:bidi w:val="0"/>
        <w:spacing w:line="578" w:lineRule="exact"/>
        <w:jc w:val="left"/>
        <w:rPr>
          <w:rFonts w:ascii="宋体"/>
          <w:b/>
          <w:color w:val="auto"/>
          <w:sz w:val="44"/>
          <w:szCs w:val="44"/>
        </w:rPr>
      </w:pP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pageBreakBefore w:val="0"/>
        <w:kinsoku/>
        <w:wordWrap/>
        <w:overflowPunct/>
        <w:topLinePunct w:val="0"/>
        <w:bidi w:val="0"/>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bookmarkStart w:id="57" w:name="_Toc15377226"/>
      <w:r>
        <w:rPr>
          <w:rFonts w:hint="eastAsia" w:ascii="仿宋_GB2312" w:hAnsi="仿宋_GB2312" w:eastAsia="仿宋_GB2312" w:cs="仿宋_GB2312"/>
          <w:color w:val="auto"/>
          <w:sz w:val="32"/>
          <w:szCs w:val="32"/>
        </w:rPr>
        <w:t>9.</w:t>
      </w:r>
      <w:r>
        <w:rPr>
          <w:rFonts w:hint="eastAsia" w:ascii="仿宋" w:hAnsi="仿宋" w:eastAsia="仿宋" w:cs="宋体"/>
          <w:bCs/>
          <w:color w:val="auto"/>
          <w:kern w:val="0"/>
          <w:sz w:val="32"/>
          <w:szCs w:val="32"/>
        </w:rPr>
        <w:t xml:space="preserve"> 一般公共服务支出（类）民主党派及工商联事务（款）行政运行（项）（2012801）</w:t>
      </w:r>
      <w:r>
        <w:rPr>
          <w:rFonts w:hint="eastAsia" w:ascii="仿宋_GB2312" w:hAnsi="仿宋_GB2312" w:eastAsia="仿宋_GB2312" w:cs="仿宋_GB2312"/>
          <w:color w:val="auto"/>
          <w:sz w:val="32"/>
          <w:szCs w:val="32"/>
        </w:rPr>
        <w:t>: 指行政单位（包括实行公务员管理的事业单位）的基本支出。</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10.社会保障和就业支出（类）行政事业单位离退休（款）机关事业单位基本养老保险缴费支出（项）（2080505）：指机关事业单位实施养老保险制度由单位缴纳的基本养老保险支出。</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11.社会保障和就业支出（类）行政事业单位离退休（款）（2080506）：反映机关事业单位实施养老保险制度由单位实际缴纳的职业年金支出。</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12.医疗卫生与计划生育（类）行政事业单位医疗（款）行政单位医疗（项）（2101101）：指财政部门集中安排的行政单位基本医疗保险缴费经费。</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13、住房保障支出（类）住房改革支出（款）住房公积金（项）（2210201）：指行政事业单位按人力资源和社会保障部、财政部规定的基本工资和津贴补贴以及规定比例为职工缴纳的住房公积金。</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14.基本支出：指为保障机构正常运转、完成日常工作任务而发生的人员支出和公用支出。</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15.项目支出：指在基本支出之外为完成特定行政任务和事业发展目标所发生的支出。 </w:t>
      </w:r>
    </w:p>
    <w:p>
      <w:pPr>
        <w:pageBreakBefore w:val="0"/>
        <w:kinsoku/>
        <w:wordWrap/>
        <w:overflowPunct/>
        <w:topLinePunct w:val="0"/>
        <w:bidi w:val="0"/>
        <w:spacing w:line="578"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16.经营支出：指事业单位在专业业务活动及其辅助活动之外开展非独立核算经营活动发生的支出。</w:t>
      </w:r>
    </w:p>
    <w:p>
      <w:pPr>
        <w:pStyle w:val="25"/>
        <w:pageBreakBefore w:val="0"/>
        <w:kinsoku/>
        <w:wordWrap/>
        <w:overflowPunct/>
        <w:topLinePunct w:val="0"/>
        <w:bidi w:val="0"/>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pageBreakBefore w:val="0"/>
        <w:kinsoku/>
        <w:wordWrap/>
        <w:overflowPunct/>
        <w:topLinePunct w:val="0"/>
        <w:bidi w:val="0"/>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8" w:lineRule="exact"/>
        <w:jc w:val="center"/>
        <w:outlineLvl w:val="0"/>
        <w:rPr>
          <w:rStyle w:val="27"/>
          <w:rFonts w:ascii="黑体" w:hAnsi="黑体" w:eastAsia="黑体"/>
          <w:b w:val="0"/>
          <w:color w:val="auto"/>
        </w:rPr>
      </w:pPr>
      <w:r>
        <w:rPr>
          <w:rFonts w:ascii="宋体"/>
          <w:b/>
          <w:color w:val="auto"/>
          <w:sz w:val="44"/>
          <w:szCs w:val="44"/>
        </w:rPr>
        <w:br w:type="page"/>
      </w:r>
      <w:bookmarkStart w:id="58" w:name="_Toc15396614"/>
      <w:r>
        <w:rPr>
          <w:rFonts w:hint="eastAsia" w:ascii="黑体" w:hAnsi="黑体" w:eastAsia="黑体"/>
          <w:color w:val="auto"/>
          <w:sz w:val="44"/>
          <w:szCs w:val="44"/>
        </w:rPr>
        <w:t>第</w:t>
      </w:r>
      <w:r>
        <w:rPr>
          <w:rStyle w:val="27"/>
          <w:rFonts w:hint="eastAsia" w:ascii="黑体" w:hAnsi="黑体" w:eastAsia="黑体"/>
          <w:b w:val="0"/>
          <w:color w:val="auto"/>
        </w:rPr>
        <w:t>四部分 附件</w:t>
      </w:r>
      <w:bookmarkEnd w:id="58"/>
    </w:p>
    <w:p>
      <w:pPr>
        <w:pageBreakBefore w:val="0"/>
        <w:kinsoku/>
        <w:wordWrap/>
        <w:overflowPunct/>
        <w:topLinePunct w:val="0"/>
        <w:bidi w:val="0"/>
        <w:spacing w:line="578" w:lineRule="exact"/>
        <w:jc w:val="left"/>
        <w:outlineLvl w:val="0"/>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w:t>
      </w:r>
    </w:p>
    <w:p>
      <w:pPr>
        <w:pageBreakBefore w:val="0"/>
        <w:kinsoku/>
        <w:wordWrap/>
        <w:overflowPunct/>
        <w:topLinePunct w:val="0"/>
        <w:bidi w:val="0"/>
        <w:spacing w:line="578" w:lineRule="exact"/>
        <w:jc w:val="center"/>
        <w:rPr>
          <w:rFonts w:ascii="方正小标宋简体" w:hAnsi="宋体" w:eastAsia="方正小标宋简体"/>
          <w:color w:val="auto"/>
          <w:kern w:val="0"/>
          <w:sz w:val="40"/>
          <w:szCs w:val="44"/>
          <w:lang w:val="zh-CN"/>
        </w:rPr>
      </w:pPr>
      <w:r>
        <w:rPr>
          <w:rFonts w:hint="eastAsia" w:ascii="方正小标宋简体" w:hAnsi="宋体" w:eastAsia="方正小标宋简体"/>
          <w:color w:val="auto"/>
          <w:kern w:val="0"/>
          <w:sz w:val="40"/>
          <w:szCs w:val="44"/>
        </w:rPr>
        <w:t>2021年</w:t>
      </w:r>
      <w:r>
        <w:rPr>
          <w:rFonts w:hint="eastAsia" w:ascii="方正小标宋简体" w:hAnsi="宋体" w:eastAsia="方正小标宋简体"/>
          <w:color w:val="auto"/>
          <w:kern w:val="0"/>
          <w:sz w:val="40"/>
          <w:szCs w:val="44"/>
          <w:lang w:eastAsia="zh-CN"/>
        </w:rPr>
        <w:t>泸县工商联</w:t>
      </w:r>
      <w:r>
        <w:rPr>
          <w:rFonts w:hint="eastAsia" w:ascii="方正小标宋简体" w:hAnsi="宋体" w:eastAsia="方正小标宋简体"/>
          <w:color w:val="auto"/>
          <w:kern w:val="0"/>
          <w:sz w:val="40"/>
          <w:szCs w:val="44"/>
        </w:rPr>
        <w:t>整体绩效评价报告</w:t>
      </w:r>
    </w:p>
    <w:p>
      <w:pPr>
        <w:pageBreakBefore w:val="0"/>
        <w:widowControl/>
        <w:kinsoku/>
        <w:wordWrap/>
        <w:overflowPunct/>
        <w:topLinePunct w:val="0"/>
        <w:bidi w:val="0"/>
        <w:spacing w:line="578" w:lineRule="exact"/>
        <w:ind w:firstLine="640" w:firstLineChars="200"/>
        <w:contextualSpacing/>
        <w:jc w:val="center"/>
        <w:rPr>
          <w:rFonts w:ascii="仿宋_GB2312" w:hAnsi="宋体" w:eastAsia="仿宋_GB2312"/>
          <w:color w:val="auto"/>
          <w:sz w:val="32"/>
          <w:szCs w:val="32"/>
          <w:shd w:val="clear" w:color="auto" w:fill="FFFFFF"/>
        </w:rPr>
      </w:pPr>
      <w:r>
        <w:rPr>
          <w:rFonts w:hint="eastAsia" w:ascii="仿宋_GB2312" w:hAnsi="宋体" w:eastAsia="仿宋_GB2312"/>
          <w:color w:val="auto"/>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auto"/>
          <w:kern w:val="0"/>
          <w:sz w:val="32"/>
          <w:szCs w:val="32"/>
          <w:shd w:val="clear" w:color="auto" w:fill="FFFFFF"/>
          <w:lang w:val="zh-CN"/>
        </w:rPr>
      </w:pPr>
      <w:r>
        <w:rPr>
          <w:rFonts w:hint="eastAsia" w:ascii="黑体" w:hAnsi="宋体" w:eastAsia="黑体" w:cs="宋体"/>
          <w:color w:val="auto"/>
          <w:kern w:val="0"/>
          <w:sz w:val="32"/>
          <w:szCs w:val="32"/>
          <w:shd w:val="clear" w:color="auto" w:fill="FFFFFF"/>
        </w:rPr>
        <w:t>一、</w:t>
      </w:r>
      <w:r>
        <w:rPr>
          <w:rFonts w:hint="eastAsia" w:ascii="黑体" w:hAnsi="宋体" w:eastAsia="黑体" w:cs="宋体"/>
          <w:color w:val="auto"/>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（一）机构组成。</w:t>
      </w:r>
      <w:r>
        <w:rPr>
          <w:rFonts w:hint="eastAsia" w:ascii="仿宋_GB2312" w:hAnsi="仿宋" w:eastAsia="仿宋_GB2312" w:cs="仿宋"/>
          <w:color w:val="auto"/>
          <w:sz w:val="32"/>
          <w:szCs w:val="32"/>
          <w:lang w:eastAsia="zh-CN"/>
        </w:rPr>
        <w:t>泸县工商业联合会属一级预算单位，无二级预算单位。现有在职公务员</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lang w:eastAsia="zh-CN"/>
        </w:rPr>
        <w:t>人，事业人员</w:t>
      </w:r>
      <w:r>
        <w:rPr>
          <w:rFonts w:hint="eastAsia" w:ascii="仿宋_GB2312" w:hAnsi="仿宋" w:eastAsia="仿宋_GB2312" w:cs="仿宋"/>
          <w:color w:val="auto"/>
          <w:sz w:val="32"/>
          <w:szCs w:val="32"/>
          <w:lang w:val="en-US" w:eastAsia="zh-CN"/>
        </w:rPr>
        <w:t>2人，</w:t>
      </w:r>
      <w:r>
        <w:rPr>
          <w:rFonts w:hint="eastAsia" w:ascii="仿宋_GB2312" w:hAnsi="仿宋" w:eastAsia="仿宋_GB2312" w:cs="仿宋"/>
          <w:color w:val="auto"/>
          <w:sz w:val="32"/>
          <w:szCs w:val="32"/>
          <w:lang w:eastAsia="zh-CN"/>
        </w:rPr>
        <w:t>退休干部</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eastAsia="zh-CN"/>
        </w:rPr>
        <w:t>人，内设机构有办公室和会员部。 </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（二）机构职能。</w:t>
      </w:r>
      <w:r>
        <w:rPr>
          <w:rFonts w:hint="eastAsia" w:ascii="仿宋_GB2312" w:hAnsi="仿宋" w:eastAsia="仿宋_GB2312" w:cs="仿宋"/>
          <w:color w:val="auto"/>
          <w:kern w:val="0"/>
          <w:sz w:val="32"/>
          <w:szCs w:val="32"/>
          <w:lang w:val="en-US" w:eastAsia="zh-CN" w:bidi="ar-SA"/>
        </w:rPr>
        <w:t>泸县工商业联合会是在县委、县政府领导下具有统战性、经济性、民间性的群众团体和民间商会，参与政治协商，发挥民主监督的作用；负责工商界代表人士政治安排的推荐工作；引导会员积极参加国家经济建设；做好非公有制经济代表人士的思想政治工作，团结、帮助、引导、教育会员遵守国家的法律、法规和政策，提高会员素质，培养积极分子队伍；代表并维护会员的合法权益，反映会员的意见、要求和建议；为会员提供信息和科技、管理、法律、会计、审计、融资、咨询等服务。</w:t>
      </w:r>
    </w:p>
    <w:p>
      <w:pPr>
        <w:pStyle w:val="7"/>
        <w:pageBreakBefore w:val="0"/>
        <w:kinsoku/>
        <w:wordWrap/>
        <w:overflowPunct/>
        <w:topLinePunct w:val="0"/>
        <w:bidi w:val="0"/>
        <w:adjustRightInd w:val="0"/>
        <w:snapToGrid w:val="0"/>
        <w:spacing w:beforeLines="0" w:line="578" w:lineRule="exact"/>
        <w:ind w:firstLine="640" w:firstLineChars="200"/>
        <w:outlineLvl w:val="2"/>
        <w:rPr>
          <w:rFonts w:hint="eastAsia" w:ascii="仿宋_GB2312" w:hAnsi="仿宋" w:eastAsia="仿宋_GB2312" w:cs="仿宋"/>
          <w:color w:val="auto"/>
          <w:kern w:val="0"/>
          <w:sz w:val="32"/>
          <w:szCs w:val="32"/>
          <w:lang w:val="zh-CN" w:eastAsia="zh-CN" w:bidi="ar-SA"/>
        </w:rPr>
      </w:pPr>
      <w:r>
        <w:rPr>
          <w:rFonts w:hint="eastAsia" w:ascii="仿宋_GB2312" w:hAnsi="宋体" w:eastAsia="仿宋_GB2312" w:cs="宋体"/>
          <w:color w:val="auto"/>
          <w:kern w:val="0"/>
          <w:sz w:val="32"/>
          <w:szCs w:val="32"/>
          <w:shd w:val="clear" w:color="auto" w:fill="FFFFFF"/>
          <w:lang w:val="zh-CN"/>
        </w:rPr>
        <w:t>（三）人员概况。</w:t>
      </w:r>
      <w:r>
        <w:rPr>
          <w:rFonts w:hint="eastAsia" w:ascii="仿宋_GB2312" w:hAnsi="仿宋" w:eastAsia="仿宋_GB2312" w:cs="仿宋"/>
          <w:color w:val="auto"/>
          <w:kern w:val="0"/>
          <w:sz w:val="32"/>
          <w:szCs w:val="32"/>
          <w:lang w:val="zh-CN" w:eastAsia="zh-CN" w:bidi="ar-SA"/>
        </w:rPr>
        <w:t>公务员编制</w:t>
      </w:r>
      <w:r>
        <w:rPr>
          <w:rFonts w:hint="eastAsia" w:ascii="仿宋_GB2312" w:hAnsi="仿宋" w:eastAsia="仿宋_GB2312" w:cs="仿宋"/>
          <w:color w:val="auto"/>
          <w:kern w:val="0"/>
          <w:sz w:val="32"/>
          <w:szCs w:val="32"/>
          <w:lang w:val="en-US" w:eastAsia="zh-CN" w:bidi="ar-SA"/>
        </w:rPr>
        <w:t>4名，现有公务员5人，其中1人政协上班；事业编制2名（挂靠泸县统战事务服务中心），现有2人；退休人员3人。</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（一）部门财政资金收入情况。</w:t>
      </w:r>
    </w:p>
    <w:p>
      <w:pPr>
        <w:pageBreakBefore w:val="0"/>
        <w:kinsoku/>
        <w:wordWrap/>
        <w:overflowPunct/>
        <w:topLinePunct w:val="0"/>
        <w:bidi w:val="0"/>
        <w:spacing w:line="578" w:lineRule="exact"/>
        <w:ind w:left="284" w:firstLine="640" w:firstLineChars="200"/>
        <w:rPr>
          <w:rFonts w:ascii="仿宋" w:hAnsi="仿宋" w:eastAsia="仿宋" w:cs="宋体"/>
          <w:bCs/>
          <w:color w:val="auto"/>
          <w:kern w:val="0"/>
          <w:sz w:val="32"/>
          <w:szCs w:val="32"/>
          <w:highlight w:val="none"/>
        </w:rPr>
      </w:pPr>
      <w:r>
        <w:rPr>
          <w:rFonts w:hint="eastAsia" w:ascii="仿宋" w:hAnsi="仿宋" w:eastAsia="仿宋"/>
          <w:color w:val="auto"/>
          <w:sz w:val="32"/>
          <w:szCs w:val="32"/>
        </w:rPr>
        <w:t>20</w:t>
      </w:r>
      <w:r>
        <w:rPr>
          <w:rFonts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年决算收入</w:t>
      </w:r>
      <w:r>
        <w:rPr>
          <w:rFonts w:hint="eastAsia" w:ascii="仿宋" w:hAnsi="仿宋" w:eastAsia="仿宋"/>
          <w:color w:val="auto"/>
          <w:sz w:val="32"/>
          <w:szCs w:val="32"/>
          <w:lang w:val="en-US" w:eastAsia="zh-CN"/>
        </w:rPr>
        <w:t>103.27</w:t>
      </w:r>
      <w:r>
        <w:rPr>
          <w:rFonts w:hint="eastAsia" w:ascii="仿宋" w:hAnsi="仿宋" w:eastAsia="仿宋"/>
          <w:color w:val="auto"/>
          <w:sz w:val="32"/>
          <w:szCs w:val="32"/>
        </w:rPr>
        <w:t>万元，较20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年决算收入</w:t>
      </w:r>
      <w:r>
        <w:rPr>
          <w:rFonts w:ascii="仿宋" w:hAnsi="仿宋" w:eastAsia="仿宋"/>
          <w:color w:val="auto"/>
          <w:sz w:val="32"/>
          <w:szCs w:val="32"/>
        </w:rPr>
        <w:t>138.54</w:t>
      </w:r>
      <w:r>
        <w:rPr>
          <w:rFonts w:hint="eastAsia" w:ascii="仿宋" w:hAnsi="仿宋" w:eastAsia="仿宋" w:cs="宋体"/>
          <w:bCs/>
          <w:color w:val="auto"/>
          <w:kern w:val="0"/>
          <w:sz w:val="32"/>
          <w:szCs w:val="32"/>
        </w:rPr>
        <w:t>万元减少</w:t>
      </w:r>
      <w:r>
        <w:rPr>
          <w:rFonts w:hint="eastAsia" w:ascii="仿宋" w:hAnsi="仿宋" w:eastAsia="仿宋" w:cs="宋体"/>
          <w:bCs/>
          <w:color w:val="auto"/>
          <w:kern w:val="0"/>
          <w:sz w:val="32"/>
          <w:szCs w:val="32"/>
          <w:lang w:val="en-US" w:eastAsia="zh-CN"/>
        </w:rPr>
        <w:t>35.27</w:t>
      </w:r>
      <w:r>
        <w:rPr>
          <w:rFonts w:hint="eastAsia" w:ascii="仿宋" w:hAnsi="仿宋" w:eastAsia="仿宋" w:cs="宋体"/>
          <w:bCs/>
          <w:color w:val="auto"/>
          <w:kern w:val="0"/>
          <w:sz w:val="32"/>
          <w:szCs w:val="32"/>
        </w:rPr>
        <w:t>万元，减少</w:t>
      </w:r>
      <w:r>
        <w:rPr>
          <w:rFonts w:hint="eastAsia" w:ascii="仿宋" w:hAnsi="仿宋" w:eastAsia="仿宋" w:cs="宋体"/>
          <w:bCs/>
          <w:color w:val="auto"/>
          <w:kern w:val="0"/>
          <w:sz w:val="32"/>
          <w:szCs w:val="32"/>
          <w:lang w:val="en-US" w:eastAsia="zh-CN"/>
        </w:rPr>
        <w:t>34.15</w:t>
      </w:r>
      <w:r>
        <w:rPr>
          <w:rFonts w:hint="eastAsia" w:ascii="仿宋" w:hAnsi="仿宋" w:eastAsia="仿宋" w:cs="宋体"/>
          <w:bCs/>
          <w:color w:val="auto"/>
          <w:kern w:val="0"/>
          <w:sz w:val="32"/>
          <w:szCs w:val="32"/>
        </w:rPr>
        <w:t>%，主要原因是项</w:t>
      </w:r>
      <w:r>
        <w:rPr>
          <w:rFonts w:hint="eastAsia" w:ascii="仿宋" w:hAnsi="仿宋" w:eastAsia="仿宋" w:cs="宋体"/>
          <w:bCs/>
          <w:color w:val="auto"/>
          <w:kern w:val="0"/>
          <w:sz w:val="32"/>
          <w:szCs w:val="32"/>
          <w:highlight w:val="none"/>
        </w:rPr>
        <w:t>目经费减少</w:t>
      </w:r>
      <w:r>
        <w:rPr>
          <w:rFonts w:hint="eastAsia" w:ascii="仿宋" w:hAnsi="仿宋" w:eastAsia="仿宋" w:cs="宋体"/>
          <w:bCs/>
          <w:color w:val="auto"/>
          <w:kern w:val="0"/>
          <w:sz w:val="32"/>
          <w:szCs w:val="32"/>
        </w:rPr>
        <w:t>；</w:t>
      </w:r>
    </w:p>
    <w:p>
      <w:pPr>
        <w:pageBreakBefore w:val="0"/>
        <w:widowControl/>
        <w:numPr>
          <w:ilvl w:val="0"/>
          <w:numId w:val="5"/>
        </w:numPr>
        <w:kinsoku/>
        <w:wordWrap/>
        <w:overflowPunct/>
        <w:topLinePunct w:val="0"/>
        <w:bidi w:val="0"/>
        <w:adjustRightInd w:val="0"/>
        <w:snapToGrid w:val="0"/>
        <w:spacing w:line="578" w:lineRule="exact"/>
        <w:ind w:left="0" w:leftChars="0"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部门财政资金支出情况。</w:t>
      </w:r>
    </w:p>
    <w:p>
      <w:pPr>
        <w:pageBreakBefore w:val="0"/>
        <w:kinsoku/>
        <w:wordWrap/>
        <w:overflowPunct/>
        <w:topLinePunct w:val="0"/>
        <w:bidi w:val="0"/>
        <w:spacing w:line="578" w:lineRule="exact"/>
        <w:ind w:left="284" w:firstLine="640" w:firstLineChars="200"/>
        <w:rPr>
          <w:rFonts w:ascii="仿宋" w:hAnsi="仿宋" w:eastAsia="仿宋" w:cs="宋体"/>
          <w:bCs/>
          <w:color w:val="auto"/>
          <w:kern w:val="0"/>
          <w:sz w:val="32"/>
          <w:szCs w:val="32"/>
          <w:highlight w:val="none"/>
        </w:rPr>
      </w:pPr>
      <w:r>
        <w:rPr>
          <w:rFonts w:hint="eastAsia" w:ascii="仿宋" w:hAnsi="仿宋" w:eastAsia="仿宋" w:cs="宋体"/>
          <w:bCs/>
          <w:color w:val="auto"/>
          <w:kern w:val="0"/>
          <w:sz w:val="32"/>
          <w:szCs w:val="32"/>
        </w:rPr>
        <w:t>20</w:t>
      </w:r>
      <w:r>
        <w:rPr>
          <w:rFonts w:ascii="仿宋" w:hAnsi="仿宋" w:eastAsia="仿宋" w:cs="宋体"/>
          <w:bCs/>
          <w:color w:val="auto"/>
          <w:kern w:val="0"/>
          <w:sz w:val="32"/>
          <w:szCs w:val="32"/>
        </w:rPr>
        <w:t>2</w:t>
      </w:r>
      <w:r>
        <w:rPr>
          <w:rFonts w:hint="eastAsia" w:ascii="仿宋" w:hAnsi="仿宋" w:eastAsia="仿宋" w:cs="宋体"/>
          <w:bCs/>
          <w:color w:val="auto"/>
          <w:kern w:val="0"/>
          <w:sz w:val="32"/>
          <w:szCs w:val="32"/>
          <w:lang w:val="en-US" w:eastAsia="zh-CN"/>
        </w:rPr>
        <w:t>1</w:t>
      </w:r>
      <w:r>
        <w:rPr>
          <w:rFonts w:hint="eastAsia" w:ascii="仿宋" w:hAnsi="仿宋" w:eastAsia="仿宋" w:cs="宋体"/>
          <w:bCs/>
          <w:color w:val="auto"/>
          <w:kern w:val="0"/>
          <w:sz w:val="32"/>
          <w:szCs w:val="32"/>
        </w:rPr>
        <w:t>年决算</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133.51</w:t>
      </w:r>
      <w:r>
        <w:rPr>
          <w:rFonts w:hint="eastAsia" w:ascii="仿宋" w:hAnsi="仿宋" w:eastAsia="仿宋"/>
          <w:color w:val="auto"/>
          <w:sz w:val="32"/>
          <w:szCs w:val="32"/>
        </w:rPr>
        <w:t>万元，较20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年支出16</w:t>
      </w:r>
      <w:r>
        <w:rPr>
          <w:rFonts w:ascii="仿宋" w:hAnsi="仿宋" w:eastAsia="仿宋"/>
          <w:color w:val="auto"/>
          <w:sz w:val="32"/>
          <w:szCs w:val="32"/>
        </w:rPr>
        <w:t>9.71</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36.2</w:t>
      </w:r>
      <w:r>
        <w:rPr>
          <w:rFonts w:hint="eastAsia" w:ascii="仿宋" w:hAnsi="仿宋" w:eastAsia="仿宋" w:cs="宋体"/>
          <w:bCs/>
          <w:color w:val="auto"/>
          <w:kern w:val="0"/>
          <w:sz w:val="32"/>
          <w:szCs w:val="32"/>
        </w:rPr>
        <w:t>万元，</w:t>
      </w:r>
      <w:r>
        <w:rPr>
          <w:rFonts w:hint="eastAsia" w:ascii="仿宋" w:hAnsi="仿宋" w:eastAsia="仿宋" w:cs="宋体"/>
          <w:bCs/>
          <w:color w:val="auto"/>
          <w:kern w:val="0"/>
          <w:sz w:val="32"/>
          <w:szCs w:val="32"/>
          <w:lang w:eastAsia="zh-CN"/>
        </w:rPr>
        <w:t>减少</w:t>
      </w:r>
      <w:r>
        <w:rPr>
          <w:rFonts w:hint="eastAsia" w:ascii="仿宋" w:hAnsi="仿宋" w:eastAsia="仿宋" w:cs="宋体"/>
          <w:bCs/>
          <w:color w:val="auto"/>
          <w:kern w:val="0"/>
          <w:sz w:val="32"/>
          <w:szCs w:val="32"/>
          <w:lang w:val="en-US" w:eastAsia="zh-CN"/>
        </w:rPr>
        <w:t>27.11%</w:t>
      </w:r>
      <w:r>
        <w:rPr>
          <w:rFonts w:hint="eastAsia" w:ascii="仿宋" w:hAnsi="仿宋" w:eastAsia="仿宋" w:cs="宋体"/>
          <w:bCs/>
          <w:color w:val="auto"/>
          <w:kern w:val="0"/>
          <w:sz w:val="32"/>
          <w:szCs w:val="32"/>
        </w:rPr>
        <w:t>，主要原因是</w:t>
      </w:r>
      <w:r>
        <w:rPr>
          <w:rFonts w:hint="eastAsia" w:ascii="仿宋" w:hAnsi="仿宋" w:eastAsia="仿宋" w:cs="宋体"/>
          <w:bCs/>
          <w:color w:val="auto"/>
          <w:kern w:val="0"/>
          <w:sz w:val="32"/>
          <w:szCs w:val="32"/>
          <w:highlight w:val="none"/>
        </w:rPr>
        <w:t>项目资金</w:t>
      </w:r>
      <w:r>
        <w:rPr>
          <w:rFonts w:hint="eastAsia" w:ascii="仿宋" w:hAnsi="仿宋" w:eastAsia="仿宋" w:cs="宋体"/>
          <w:bCs/>
          <w:color w:val="auto"/>
          <w:kern w:val="0"/>
          <w:sz w:val="32"/>
          <w:szCs w:val="32"/>
          <w:highlight w:val="none"/>
          <w:lang w:eastAsia="zh-CN"/>
        </w:rPr>
        <w:t>减少</w:t>
      </w:r>
      <w:r>
        <w:rPr>
          <w:rFonts w:hint="eastAsia" w:ascii="仿宋" w:hAnsi="仿宋" w:eastAsia="仿宋" w:cs="宋体"/>
          <w:bCs/>
          <w:color w:val="auto"/>
          <w:kern w:val="0"/>
          <w:sz w:val="32"/>
          <w:szCs w:val="32"/>
          <w:highlight w:val="none"/>
        </w:rPr>
        <w:t>。</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（一）部门预算项目绩效管理。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泸县工商业联合会在县委、县政府的坚强领导和其它职能部门的大力支持配合下，聚焦“两个健康”，构建新型政商关系。坚持县级领导和县级部门联系非公企业、异地泸州商会等制度。参与《优化营商环境》、《加快工业转型发展》、《加快招商引资的建议》等专题调研课题。强化联村帮扶实效，确实解决贫困户的实际困难。按照财务预算，对各方面工作开展进行控制，实现财务收支平衡。为进一步加强经费预算管理，提高资金使用效率，根据本单位年初预算批复，分析本单位上半年预算执行情况，认真编制2021年度预算调整，以保证单位的正常运转，通过绩效目标考核加强对财经相应的制约。</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（二）结果应用情况。</w:t>
      </w:r>
    </w:p>
    <w:p>
      <w:pPr>
        <w:pageBreakBefore w:val="0"/>
        <w:widowControl/>
        <w:numPr>
          <w:ilvl w:val="0"/>
          <w:numId w:val="0"/>
        </w:numPr>
        <w:kinsoku/>
        <w:wordWrap/>
        <w:overflowPunct/>
        <w:topLinePunct w:val="0"/>
        <w:bidi w:val="0"/>
        <w:adjustRightInd w:val="0"/>
        <w:snapToGrid w:val="0"/>
        <w:spacing w:line="578" w:lineRule="exact"/>
        <w:contextualSpacing/>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强化资金管理水平、增强资金绩效理念、合理配置公共资源、提高资金使用效益，并将本年绩效目标评价结果作为以后年度资金分配的重要依据。</w:t>
      </w:r>
    </w:p>
    <w:p>
      <w:pPr>
        <w:pageBreakBefore w:val="0"/>
        <w:widowControl/>
        <w:numPr>
          <w:ilvl w:val="0"/>
          <w:numId w:val="0"/>
        </w:numPr>
        <w:kinsoku/>
        <w:wordWrap/>
        <w:overflowPunct/>
        <w:topLinePunct w:val="0"/>
        <w:bidi w:val="0"/>
        <w:adjustRightInd w:val="0"/>
        <w:snapToGrid w:val="0"/>
        <w:spacing w:line="578" w:lineRule="exact"/>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（三）自评质量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2"/>
          <w:shd w:val="clear" w:color="auto" w:fill="FFFFFF"/>
        </w:rPr>
        <w:t xml:space="preserve"> </w:t>
      </w:r>
      <w:r>
        <w:rPr>
          <w:rFonts w:hint="eastAsia" w:ascii="仿宋_GB2312" w:hAnsi="仿宋_GB2312" w:eastAsia="仿宋_GB2312" w:cs="仿宋_GB2312"/>
          <w:color w:val="auto"/>
          <w:sz w:val="32"/>
          <w:szCs w:val="32"/>
        </w:rPr>
        <w:t>本部门按</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要求对20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年部门整体支出绩效评价情况开展自评。</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（一）评价结论。</w:t>
      </w:r>
      <w:r>
        <w:rPr>
          <w:rFonts w:hint="eastAsia" w:ascii="仿宋_GB2312" w:hAnsi="仿宋_GB2312" w:eastAsia="仿宋_GB2312" w:cs="仿宋_GB2312"/>
          <w:color w:val="auto"/>
          <w:kern w:val="2"/>
          <w:sz w:val="32"/>
          <w:szCs w:val="32"/>
          <w:lang w:val="en-US" w:eastAsia="zh-CN" w:bidi="ar-SA"/>
        </w:rPr>
        <w:t>从总体上看，该项目规划科学、决策依据充分、资金到位及时、项目管理规范，达到了预期项目支出绩效评价效果。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color w:val="auto"/>
          <w:kern w:val="2"/>
          <w:sz w:val="32"/>
          <w:szCs w:val="32"/>
          <w:lang w:val="en-US" w:eastAsia="zh-CN" w:bidi="ar-SA"/>
        </w:rPr>
      </w:pPr>
      <w:r>
        <w:rPr>
          <w:rFonts w:hint="eastAsia" w:ascii="仿宋_GB2312" w:hAnsi="宋体" w:eastAsia="仿宋_GB2312" w:cs="宋体"/>
          <w:color w:val="auto"/>
          <w:kern w:val="0"/>
          <w:sz w:val="32"/>
          <w:szCs w:val="32"/>
          <w:shd w:val="clear" w:color="auto" w:fill="FFFFFF"/>
          <w:lang w:val="zh-CN"/>
        </w:rPr>
        <w:t>（二）存在问题。</w:t>
      </w:r>
      <w:r>
        <w:rPr>
          <w:rFonts w:hint="eastAsia" w:ascii="仿宋_GB2312" w:hAnsi="仿宋_GB2312" w:eastAsia="仿宋_GB2312" w:cs="仿宋_GB2312"/>
          <w:color w:val="auto"/>
          <w:kern w:val="2"/>
          <w:sz w:val="32"/>
          <w:szCs w:val="32"/>
          <w:lang w:val="en-US" w:eastAsia="zh-CN" w:bidi="ar-SA"/>
        </w:rPr>
        <w:t>绩效目标设定不够精细，预算编制不够精准，绩效评价方法应用不准确。</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（三）改进建议。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8" w:lineRule="exact"/>
        <w:ind w:left="0" w:right="0" w:firstLine="42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进一步细化目标设定，进一步精准编制预算。</w:t>
      </w: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rFonts w:hAnsi="宋体" w:cs="宋体"/>
          <w:color w:val="auto"/>
          <w:sz w:val="32"/>
          <w:szCs w:val="32"/>
          <w:shd w:val="clear" w:color="auto" w:fill="FFFFFF"/>
          <w:lang w:val="zh-CN"/>
        </w:rPr>
      </w:pPr>
    </w:p>
    <w:p>
      <w:pPr>
        <w:pStyle w:val="7"/>
        <w:pageBreakBefore w:val="0"/>
        <w:kinsoku/>
        <w:wordWrap/>
        <w:overflowPunct/>
        <w:topLinePunct w:val="0"/>
        <w:bidi w:val="0"/>
        <w:spacing w:before="93" w:line="578" w:lineRule="exact"/>
        <w:rPr>
          <w:color w:val="auto"/>
          <w:lang w:val="zh-CN"/>
        </w:rPr>
      </w:pPr>
      <w:r>
        <w:rPr>
          <w:rFonts w:hint="eastAsia" w:hAnsi="宋体" w:cs="宋体"/>
          <w:color w:val="auto"/>
          <w:sz w:val="32"/>
          <w:szCs w:val="32"/>
          <w:shd w:val="clear" w:color="auto" w:fill="FFFFFF"/>
          <w:lang w:val="zh-CN"/>
        </w:rPr>
        <w:t>附件</w:t>
      </w:r>
    </w:p>
    <w:p>
      <w:pPr>
        <w:pageBreakBefore w:val="0"/>
        <w:kinsoku/>
        <w:wordWrap/>
        <w:overflowPunct/>
        <w:topLinePunct w:val="0"/>
        <w:bidi w:val="0"/>
        <w:spacing w:line="578" w:lineRule="exact"/>
        <w:jc w:val="center"/>
        <w:rPr>
          <w:rFonts w:ascii="方正小标宋简体" w:hAnsi="方正小标宋简体" w:eastAsia="方正小标宋简体" w:cs="方正小标宋简体"/>
          <w:color w:val="auto"/>
          <w:sz w:val="40"/>
          <w:szCs w:val="40"/>
          <w:lang w:val="zh-CN"/>
        </w:rPr>
      </w:pPr>
      <w:r>
        <w:rPr>
          <w:rFonts w:hint="eastAsia" w:ascii="方正小标宋简体" w:hAnsi="方正小标宋简体" w:eastAsia="方正小标宋简体" w:cs="方正小标宋简体"/>
          <w:color w:val="auto"/>
          <w:sz w:val="40"/>
          <w:szCs w:val="40"/>
        </w:rPr>
        <w:t>2022年</w:t>
      </w:r>
      <w:r>
        <w:rPr>
          <w:rFonts w:hint="eastAsia" w:ascii="方正小标宋简体" w:hAnsi="方正小标宋简体" w:eastAsia="方正小标宋简体" w:cs="方正小标宋简体"/>
          <w:color w:val="auto"/>
          <w:sz w:val="40"/>
          <w:szCs w:val="40"/>
          <w:lang w:val="zh-CN"/>
        </w:rPr>
        <w:t>专项预算项目支出绩效自评报告范本</w:t>
      </w:r>
    </w:p>
    <w:p>
      <w:pPr>
        <w:pageBreakBefore w:val="0"/>
        <w:kinsoku/>
        <w:wordWrap/>
        <w:overflowPunct/>
        <w:topLinePunct w:val="0"/>
        <w:bidi w:val="0"/>
        <w:spacing w:line="578" w:lineRule="exact"/>
        <w:ind w:firstLine="883"/>
        <w:jc w:val="center"/>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（主管部门自评）</w:t>
      </w:r>
    </w:p>
    <w:p>
      <w:pPr>
        <w:pageBreakBefore w:val="0"/>
        <w:kinsoku/>
        <w:wordWrap/>
        <w:overflowPunct/>
        <w:topLinePunct w:val="0"/>
        <w:bidi w:val="0"/>
        <w:adjustRightInd w:val="0"/>
        <w:snapToGrid w:val="0"/>
        <w:spacing w:line="578"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1．说明项目主管部门（单位）在该项目管理中的职能。</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2．项目立项、资金申报的依据。</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3．资金管理办法制定情况，资金支持具体项目的条件、范围与支持方式概况。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4．资金分配的原则及考虑因素。</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2．项目应实现的具体绩效目标，包括目标的量化、细化情况以及项目实施进度计划等。</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3．分析评价申报内容是否与实际相符，申报目标是否合理可行。</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说明项目绩效自评采用的组织实施步骤及方法。</w:t>
      </w:r>
    </w:p>
    <w:p>
      <w:pPr>
        <w:pageBreakBefore w:val="0"/>
        <w:kinsoku/>
        <w:wordWrap/>
        <w:overflowPunct/>
        <w:topLinePunct w:val="0"/>
        <w:bidi w:val="0"/>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说明项目资金申报、批复及预算调整等程序的相关情况。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楷体_GB2312" w:hAnsi="宋体" w:eastAsia="楷体_GB2312"/>
          <w:color w:val="auto"/>
          <w:sz w:val="32"/>
          <w:szCs w:val="32"/>
          <w:lang w:val="zh-CN"/>
        </w:rPr>
        <w:t>1．资金计划。</w:t>
      </w:r>
      <w:r>
        <w:rPr>
          <w:rFonts w:hint="eastAsia" w:ascii="仿宋_GB2312" w:hAnsi="宋体" w:eastAsia="仿宋_GB2312"/>
          <w:color w:val="auto"/>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楷体_GB2312" w:hAnsi="宋体" w:eastAsia="楷体_GB2312"/>
          <w:color w:val="auto"/>
          <w:sz w:val="32"/>
          <w:szCs w:val="32"/>
          <w:lang w:val="zh-CN"/>
        </w:rPr>
        <w:t>2．资金到位。</w:t>
      </w:r>
      <w:r>
        <w:rPr>
          <w:rFonts w:hint="eastAsia" w:ascii="仿宋_GB2312" w:hAnsi="宋体" w:eastAsia="仿宋_GB2312"/>
          <w:color w:val="auto"/>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楷体_GB2312" w:hAnsi="宋体" w:eastAsia="楷体_GB2312"/>
          <w:color w:val="auto"/>
          <w:sz w:val="32"/>
          <w:szCs w:val="32"/>
          <w:lang w:val="zh-CN"/>
        </w:rPr>
        <w:t>3．资金使用。</w:t>
      </w:r>
      <w:r>
        <w:rPr>
          <w:rFonts w:hint="eastAsia" w:ascii="仿宋_GB2312" w:hAnsi="宋体" w:eastAsia="仿宋_GB2312"/>
          <w:color w:val="auto"/>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（三）项目财务管理情况。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总体评价各项目实施单位财务管理制度是否健全，是否严格执行财务管理制度，账务处理是否及时，会计核算是否规范等。</w:t>
      </w:r>
    </w:p>
    <w:p>
      <w:pPr>
        <w:pageBreakBefore w:val="0"/>
        <w:kinsoku/>
        <w:wordWrap/>
        <w:overflowPunct/>
        <w:topLinePunct w:val="0"/>
        <w:bidi w:val="0"/>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三、项目实施及管理情况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结合项目组织实施管理办法，重点围绕以下内容进行分析评价，并对自评中发现的问题分析说明。</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（一）项目组织架构及实施流程。</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（二）项目管理情况。</w:t>
      </w:r>
      <w:r>
        <w:rPr>
          <w:rFonts w:hint="eastAsia" w:ascii="仿宋_GB2312" w:hAnsi="宋体" w:eastAsia="仿宋_GB2312"/>
          <w:color w:val="auto"/>
          <w:sz w:val="32"/>
          <w:szCs w:val="32"/>
          <w:lang w:val="zh-CN"/>
        </w:rPr>
        <w:t>结合项目特点，总体评价各项目实施单位执行相关法律法规及项目管理制度等情况，如招投标、政府采购、项目公示制等相关规定。</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（三）项目监管情况。</w:t>
      </w:r>
      <w:r>
        <w:rPr>
          <w:rFonts w:hint="eastAsia" w:ascii="仿宋_GB2312" w:hAnsi="宋体" w:eastAsia="仿宋_GB2312"/>
          <w:color w:val="auto"/>
          <w:sz w:val="32"/>
          <w:szCs w:val="32"/>
          <w:lang w:val="zh-CN"/>
        </w:rPr>
        <w:t>说明项目主管部门为加强项目管理所采取的监管手段、监管程序、监管工作开展情况及实现的效果等。</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pageBreakBefore w:val="0"/>
        <w:kinsoku/>
        <w:wordWrap/>
        <w:overflowPunct/>
        <w:topLinePunct w:val="0"/>
        <w:bidi w:val="0"/>
        <w:adjustRightInd w:val="0"/>
        <w:snapToGrid w:val="0"/>
        <w:spacing w:line="578"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从项目经济效益、社会效益、生态效益、可持续效益以及服务对象满意度等方面对项目效益进行全面分析评价。</w:t>
      </w:r>
    </w:p>
    <w:p>
      <w:pPr>
        <w:pageBreakBefore w:val="0"/>
        <w:kinsoku/>
        <w:wordWrap/>
        <w:overflowPunct/>
        <w:topLinePunct w:val="0"/>
        <w:bidi w:val="0"/>
        <w:adjustRightInd w:val="0"/>
        <w:snapToGrid w:val="0"/>
        <w:spacing w:line="578" w:lineRule="exact"/>
        <w:ind w:firstLine="720"/>
        <w:rPr>
          <w:rFonts w:ascii="黑体" w:hAnsi="宋体" w:eastAsia="黑体"/>
          <w:color w:val="auto"/>
          <w:sz w:val="32"/>
          <w:szCs w:val="32"/>
        </w:rPr>
      </w:pPr>
      <w:r>
        <w:rPr>
          <w:rFonts w:hint="eastAsia" w:ascii="黑体" w:hAnsi="宋体" w:eastAsia="黑体"/>
          <w:color w:val="auto"/>
          <w:sz w:val="32"/>
          <w:szCs w:val="32"/>
        </w:rPr>
        <w:t>五、评价结论及建议</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（一）评价结论。</w:t>
      </w:r>
    </w:p>
    <w:p>
      <w:pPr>
        <w:pageBreakBefore w:val="0"/>
        <w:kinsoku/>
        <w:wordWrap/>
        <w:overflowPunct/>
        <w:topLinePunct w:val="0"/>
        <w:bidi w:val="0"/>
        <w:adjustRightInd w:val="0"/>
        <w:snapToGrid w:val="0"/>
        <w:spacing w:line="578" w:lineRule="exact"/>
        <w:ind w:firstLine="640" w:firstLineChars="200"/>
        <w:rPr>
          <w:rFonts w:ascii="仿宋_GB2312" w:hAnsi="宋体" w:eastAsia="仿宋_GB2312"/>
          <w:color w:val="auto"/>
          <w:sz w:val="32"/>
          <w:szCs w:val="32"/>
          <w:bdr w:val="single" w:color="auto" w:sz="4" w:space="0"/>
          <w:lang w:val="zh-CN"/>
        </w:rPr>
      </w:pPr>
      <w:r>
        <w:rPr>
          <w:rFonts w:hint="eastAsia" w:ascii="仿宋_GB2312" w:hAnsi="宋体" w:eastAsia="仿宋_GB2312"/>
          <w:color w:val="auto"/>
          <w:sz w:val="32"/>
          <w:szCs w:val="32"/>
          <w:lang w:val="zh-CN"/>
        </w:rPr>
        <w:t>结合项目自身特点、评价重点及管理办法等要求，围绕专项项目支出绩效评价指标体系对项目进行总体评价。</w:t>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（二）存在的问题。</w:t>
      </w:r>
    </w:p>
    <w:p>
      <w:pPr>
        <w:pageBreakBefore w:val="0"/>
        <w:kinsoku/>
        <w:wordWrap/>
        <w:overflowPunct/>
        <w:topLinePunct w:val="0"/>
        <w:bidi w:val="0"/>
        <w:adjustRightInd w:val="0"/>
        <w:snapToGrid w:val="0"/>
        <w:spacing w:line="578"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结合自评情况，分析存在的问题及原因。</w:t>
      </w:r>
      <w:r>
        <w:rPr>
          <w:rFonts w:hint="eastAsia" w:ascii="仿宋_GB2312" w:hAnsi="宋体" w:eastAsia="仿宋_GB2312"/>
          <w:color w:val="auto"/>
          <w:sz w:val="32"/>
          <w:szCs w:val="32"/>
          <w:lang w:val="zh-CN"/>
        </w:rPr>
        <w:tab/>
      </w:r>
    </w:p>
    <w:p>
      <w:pPr>
        <w:pageBreakBefore w:val="0"/>
        <w:kinsoku/>
        <w:wordWrap/>
        <w:overflowPunct/>
        <w:topLinePunct w:val="0"/>
        <w:bidi w:val="0"/>
        <w:adjustRightInd w:val="0"/>
        <w:snapToGrid w:val="0"/>
        <w:spacing w:line="578"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（三）相关建议。</w:t>
      </w:r>
    </w:p>
    <w:p>
      <w:pPr>
        <w:pageBreakBefore w:val="0"/>
        <w:kinsoku/>
        <w:wordWrap/>
        <w:overflowPunct/>
        <w:topLinePunct w:val="0"/>
        <w:bidi w:val="0"/>
        <w:adjustRightInd w:val="0"/>
        <w:snapToGrid w:val="0"/>
        <w:spacing w:line="578"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针对项目自评中发现的问题，提出下一步改进完善的意见及有关政策性建议。</w:t>
      </w: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b/>
                <w:color w:val="auto"/>
                <w:sz w:val="32"/>
                <w:szCs w:val="32"/>
              </w:rPr>
            </w:pPr>
            <w:r>
              <w:rPr>
                <w:rFonts w:hint="eastAsia" w:ascii="宋体" w:hAnsi="宋体" w:cs="宋体"/>
                <w:b/>
                <w:color w:val="auto"/>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b/>
                <w:color w:val="auto"/>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r>
              <w:rPr>
                <w:rFonts w:hint="eastAsia" w:ascii="宋体" w:hAnsi="宋体" w:cs="宋体"/>
                <w:color w:val="auto"/>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r>
              <w:rPr>
                <w:rFonts w:hint="eastAsia" w:ascii="宋体" w:hAnsi="宋体" w:cs="宋体"/>
                <w:color w:val="auto"/>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r>
              <w:rPr>
                <w:rFonts w:hint="eastAsia" w:ascii="宋体" w:hAnsi="宋体" w:cs="宋体"/>
                <w:color w:val="auto"/>
                <w:kern w:val="0"/>
                <w:sz w:val="24"/>
              </w:rPr>
              <w:t>项目预算</w:t>
            </w:r>
            <w:r>
              <w:rPr>
                <w:rFonts w:hint="eastAsia" w:ascii="宋体" w:hAnsi="宋体" w:cs="宋体"/>
                <w:color w:val="auto"/>
                <w:kern w:val="0"/>
                <w:sz w:val="24"/>
              </w:rPr>
              <w:br w:type="textWrapping"/>
            </w:r>
            <w:r>
              <w:rPr>
                <w:rFonts w:hint="eastAsia" w:ascii="宋体" w:hAnsi="宋体" w:cs="宋体"/>
                <w:color w:val="auto"/>
                <w:kern w:val="0"/>
                <w:sz w:val="24"/>
              </w:rPr>
              <w:t>执行情况</w:t>
            </w:r>
            <w:r>
              <w:rPr>
                <w:rFonts w:hint="eastAsia" w:ascii="宋体" w:hAnsi="宋体" w:cs="宋体"/>
                <w:color w:val="auto"/>
                <w:kern w:val="0"/>
                <w:sz w:val="24"/>
              </w:rPr>
              <w:br w:type="textWrapping"/>
            </w:r>
            <w:r>
              <w:rPr>
                <w:rFonts w:hint="eastAsia" w:ascii="宋体" w:hAnsi="宋体" w:cs="宋体"/>
                <w:color w:val="auto"/>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r>
              <w:rPr>
                <w:rFonts w:hint="eastAsia" w:ascii="宋体" w:hAnsi="宋体" w:cs="宋体"/>
                <w:color w:val="auto"/>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r>
              <w:rPr>
                <w:rFonts w:hint="eastAsia" w:ascii="宋体" w:hAnsi="宋体" w:cs="宋体"/>
                <w:color w:val="auto"/>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right"/>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pageBreakBefore w:val="0"/>
              <w:widowControl/>
              <w:kinsoku/>
              <w:wordWrap/>
              <w:overflowPunct/>
              <w:topLinePunct w:val="0"/>
              <w:bidi w:val="0"/>
              <w:spacing w:line="578"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kern w:val="0"/>
                <w:sz w:val="24"/>
              </w:rPr>
            </w:pPr>
            <w:r>
              <w:rPr>
                <w:rFonts w:hint="eastAsia" w:ascii="宋体" w:hAnsi="宋体" w:cs="宋体"/>
                <w:color w:val="auto"/>
                <w:kern w:val="0"/>
                <w:sz w:val="24"/>
              </w:rPr>
              <w:t>其中：</w:t>
            </w:r>
          </w:p>
          <w:p>
            <w:pPr>
              <w:pageBreakBefore w:val="0"/>
              <w:widowControl/>
              <w:kinsoku/>
              <w:wordWrap/>
              <w:overflowPunct/>
              <w:topLinePunct w:val="0"/>
              <w:bidi w:val="0"/>
              <w:spacing w:line="578" w:lineRule="exact"/>
              <w:jc w:val="left"/>
              <w:textAlignment w:val="center"/>
              <w:rPr>
                <w:rFonts w:ascii="宋体" w:hAnsi="宋体" w:cs="宋体"/>
                <w:color w:val="auto"/>
                <w:sz w:val="24"/>
              </w:rPr>
            </w:pPr>
            <w:r>
              <w:rPr>
                <w:rFonts w:hint="eastAsia" w:ascii="宋体" w:hAnsi="宋体" w:cs="宋体"/>
                <w:color w:val="auto"/>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宋体" w:hAnsi="宋体" w:cs="宋体"/>
                <w:color w:val="auto"/>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left"/>
              <w:textAlignment w:val="center"/>
              <w:rPr>
                <w:rFonts w:ascii="宋体" w:hAnsi="宋体" w:cs="宋体"/>
                <w:color w:val="auto"/>
                <w:sz w:val="24"/>
              </w:rPr>
            </w:pPr>
            <w:r>
              <w:rPr>
                <w:rFonts w:hint="eastAsia" w:ascii="宋体" w:hAnsi="宋体" w:cs="宋体"/>
                <w:color w:val="auto"/>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kern w:val="0"/>
                <w:sz w:val="24"/>
              </w:rPr>
            </w:pPr>
            <w:r>
              <w:rPr>
                <w:rFonts w:hint="eastAsia" w:ascii="宋体" w:hAnsi="宋体" w:cs="宋体"/>
                <w:color w:val="auto"/>
                <w:kern w:val="0"/>
                <w:sz w:val="24"/>
              </w:rPr>
              <w:t>年度总体目标</w:t>
            </w:r>
          </w:p>
          <w:p>
            <w:pPr>
              <w:pageBreakBefore w:val="0"/>
              <w:widowControl/>
              <w:kinsoku/>
              <w:wordWrap/>
              <w:overflowPunct/>
              <w:topLinePunct w:val="0"/>
              <w:bidi w:val="0"/>
              <w:spacing w:line="578" w:lineRule="exact"/>
              <w:jc w:val="center"/>
              <w:textAlignment w:val="center"/>
              <w:rPr>
                <w:rFonts w:ascii="宋体" w:hAnsi="宋体" w:cs="宋体"/>
                <w:color w:val="auto"/>
                <w:sz w:val="24"/>
              </w:rPr>
            </w:pPr>
            <w:r>
              <w:rPr>
                <w:rFonts w:hint="eastAsia" w:ascii="宋体" w:hAnsi="宋体" w:cs="宋体"/>
                <w:color w:val="auto"/>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r>
              <w:rPr>
                <w:rFonts w:hint="eastAsia" w:ascii="宋体" w:hAnsi="宋体" w:cs="宋体"/>
                <w:color w:val="auto"/>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宋体" w:hAnsi="宋体" w:cs="宋体"/>
                <w:color w:val="auto"/>
                <w:sz w:val="24"/>
              </w:rPr>
            </w:pPr>
            <w:r>
              <w:rPr>
                <w:rFonts w:hint="eastAsia" w:ascii="宋体" w:hAnsi="宋体" w:cs="宋体"/>
                <w:color w:val="auto"/>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宋体" w:hAnsi="宋体" w:cs="宋体"/>
                <w:color w:val="auto"/>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pageBreakBefore w:val="0"/>
              <w:widowControl/>
              <w:kinsoku/>
              <w:wordWrap/>
              <w:overflowPunct/>
              <w:topLinePunct w:val="0"/>
              <w:bidi w:val="0"/>
              <w:spacing w:line="578" w:lineRule="exact"/>
              <w:jc w:val="left"/>
              <w:textAlignment w:val="top"/>
              <w:rPr>
                <w:rFonts w:ascii="宋体" w:hAnsi="宋体" w:cs="宋体"/>
                <w:color w:val="auto"/>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pageBreakBefore w:val="0"/>
              <w:widowControl/>
              <w:kinsoku/>
              <w:wordWrap/>
              <w:overflowPunct/>
              <w:topLinePunct w:val="0"/>
              <w:bidi w:val="0"/>
              <w:spacing w:line="578" w:lineRule="exact"/>
              <w:jc w:val="left"/>
              <w:textAlignment w:val="top"/>
              <w:rPr>
                <w:rFonts w:ascii="宋体" w:hAnsi="宋体" w:cs="宋体"/>
                <w:color w:val="auto"/>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一级</w:t>
            </w:r>
          </w:p>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二级</w:t>
            </w:r>
          </w:p>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三级</w:t>
            </w:r>
          </w:p>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完成</w:t>
            </w:r>
          </w:p>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效益</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ind w:left="463" w:leftChars="87" w:hanging="280" w:hangingChars="100"/>
              <w:jc w:val="left"/>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90" w:hRule="atLeast"/>
        </w:trPr>
        <w:tc>
          <w:tcPr>
            <w:tcW w:w="1977" w:type="dxa"/>
            <w:vMerge w:val="continue"/>
            <w:tcBorders>
              <w:left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78" w:lineRule="exact"/>
              <w:jc w:val="center"/>
              <w:rPr>
                <w:rFonts w:ascii="仿宋_GB2312" w:hAnsi="仿宋_GB2312" w:eastAsia="仿宋_GB2312" w:cs="仿宋_GB2312"/>
                <w:color w:val="auto"/>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满意</w:t>
            </w:r>
            <w:r>
              <w:rPr>
                <w:rFonts w:hint="eastAsia" w:ascii="仿宋_GB2312" w:hAnsi="仿宋_GB2312" w:eastAsia="仿宋_GB2312" w:cs="仿宋_GB2312"/>
                <w:color w:val="auto"/>
                <w:kern w:val="0"/>
                <w:sz w:val="28"/>
                <w:szCs w:val="28"/>
              </w:rPr>
              <w:br w:type="textWrapping"/>
            </w:r>
            <w:r>
              <w:rPr>
                <w:rFonts w:hint="eastAsia" w:ascii="仿宋_GB2312" w:hAnsi="仿宋_GB2312" w:eastAsia="仿宋_GB2312" w:cs="仿宋_GB2312"/>
                <w:color w:val="auto"/>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满意度</w:t>
            </w:r>
          </w:p>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pageBreakBefore w:val="0"/>
              <w:widowControl/>
              <w:kinsoku/>
              <w:wordWrap/>
              <w:overflowPunct/>
              <w:topLinePunct w:val="0"/>
              <w:bidi w:val="0"/>
              <w:spacing w:line="578" w:lineRule="exact"/>
              <w:jc w:val="center"/>
              <w:textAlignment w:val="bottom"/>
              <w:rPr>
                <w:rFonts w:ascii="仿宋_GB2312" w:hAnsi="仿宋_GB2312" w:eastAsia="仿宋_GB2312" w:cs="仿宋_GB2312"/>
                <w:color w:val="auto"/>
                <w:sz w:val="28"/>
                <w:szCs w:val="28"/>
              </w:rPr>
            </w:pPr>
          </w:p>
        </w:tc>
      </w:tr>
    </w:tbl>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附表：</w:t>
      </w:r>
    </w:p>
    <w:p>
      <w:pPr>
        <w:pageBreakBefore w:val="0"/>
        <w:widowControl/>
        <w:kinsoku/>
        <w:wordWrap/>
        <w:overflowPunct/>
        <w:topLinePunct w:val="0"/>
        <w:bidi w:val="0"/>
        <w:adjustRightInd w:val="0"/>
        <w:snapToGrid w:val="0"/>
        <w:spacing w:line="578" w:lineRule="exact"/>
        <w:contextualSpacing/>
        <w:jc w:val="left"/>
        <w:rPr>
          <w:color w:val="auto"/>
        </w:rPr>
      </w:pPr>
      <w:r>
        <w:rPr>
          <w:rFonts w:hint="eastAsia" w:ascii="仿宋_GB2312" w:hAnsi="宋体" w:eastAsia="仿宋_GB2312" w:cs="宋体"/>
          <w:color w:val="auto"/>
          <w:kern w:val="0"/>
          <w:sz w:val="32"/>
          <w:szCs w:val="32"/>
          <w:shd w:val="clear" w:color="auto" w:fill="FFFFFF"/>
        </w:rPr>
        <w:t>（注：有两个及以上100万元以上（含）特定目标类部门预算项目的，需分别开展绩效目标自评并填写附表）</w:t>
      </w:r>
    </w:p>
    <w:p>
      <w:pPr>
        <w:pageBreakBefore w:val="0"/>
        <w:kinsoku/>
        <w:wordWrap/>
        <w:overflowPunct/>
        <w:topLinePunct w:val="0"/>
        <w:bidi w:val="0"/>
        <w:spacing w:line="578" w:lineRule="exact"/>
        <w:rPr>
          <w:rStyle w:val="27"/>
          <w:rFonts w:ascii="黑体" w:hAnsi="黑体" w:eastAsia="黑体"/>
          <w:b w:val="0"/>
          <w:color w:val="auto"/>
        </w:rPr>
      </w:pPr>
    </w:p>
    <w:p>
      <w:pPr>
        <w:pageBreakBefore w:val="0"/>
        <w:widowControl/>
        <w:kinsoku/>
        <w:wordWrap/>
        <w:overflowPunct/>
        <w:topLinePunct w:val="0"/>
        <w:bidi w:val="0"/>
        <w:spacing w:line="578" w:lineRule="exact"/>
        <w:jc w:val="left"/>
        <w:rPr>
          <w:rStyle w:val="27"/>
          <w:rFonts w:ascii="黑体" w:hAnsi="黑体" w:eastAsia="黑体"/>
          <w:b w:val="0"/>
          <w:color w:val="auto"/>
        </w:rPr>
      </w:pPr>
      <w:r>
        <w:rPr>
          <w:rStyle w:val="27"/>
          <w:rFonts w:ascii="黑体" w:hAnsi="黑体" w:eastAsia="黑体"/>
          <w:b w:val="0"/>
          <w:color w:val="auto"/>
        </w:rPr>
        <w:br w:type="page"/>
      </w:r>
    </w:p>
    <w:p>
      <w:pPr>
        <w:pageBreakBefore w:val="0"/>
        <w:kinsoku/>
        <w:wordWrap/>
        <w:overflowPunct/>
        <w:topLinePunct w:val="0"/>
        <w:bidi w:val="0"/>
        <w:spacing w:line="578" w:lineRule="exact"/>
        <w:jc w:val="center"/>
        <w:outlineLvl w:val="0"/>
        <w:rPr>
          <w:rFonts w:ascii="仿宋" w:hAnsi="仿宋" w:eastAsia="仿宋"/>
          <w:color w:val="auto"/>
        </w:rPr>
      </w:pPr>
      <w:bookmarkStart w:id="59" w:name="_Toc15396618"/>
      <w:r>
        <w:rPr>
          <w:rFonts w:hint="eastAsia" w:ascii="黑体" w:hAnsi="黑体" w:eastAsia="黑体"/>
          <w:color w:val="auto"/>
          <w:sz w:val="44"/>
          <w:szCs w:val="44"/>
        </w:rPr>
        <w:t>第</w:t>
      </w:r>
      <w:r>
        <w:rPr>
          <w:rStyle w:val="27"/>
          <w:rFonts w:hint="eastAsia" w:ascii="黑体" w:hAnsi="黑体" w:eastAsia="黑体"/>
          <w:b w:val="0"/>
          <w:color w:val="auto"/>
        </w:rPr>
        <w:t>五部分 附表</w:t>
      </w:r>
      <w:bookmarkEnd w:id="57"/>
      <w:bookmarkEnd w:id="59"/>
      <w:bookmarkStart w:id="60" w:name="_Toc15396619"/>
    </w:p>
    <w:p>
      <w:pPr>
        <w:pStyle w:val="4"/>
        <w:pageBreakBefore w:val="0"/>
        <w:kinsoku/>
        <w:wordWrap/>
        <w:overflowPunct/>
        <w:topLinePunct w:val="0"/>
        <w:bidi w:val="0"/>
        <w:spacing w:line="578" w:lineRule="exact"/>
        <w:rPr>
          <w:rFonts w:ascii="仿宋" w:hAnsi="仿宋" w:eastAsia="仿宋"/>
          <w:color w:val="auto"/>
        </w:rPr>
      </w:pPr>
      <w:r>
        <w:rPr>
          <w:rFonts w:hint="eastAsia" w:ascii="仿宋" w:hAnsi="仿宋" w:eastAsia="仿宋"/>
          <w:b w:val="0"/>
          <w:color w:val="auto"/>
        </w:rPr>
        <w:t>一、收</w:t>
      </w:r>
      <w:r>
        <w:rPr>
          <w:rStyle w:val="28"/>
          <w:rFonts w:hint="eastAsia" w:ascii="仿宋" w:hAnsi="仿宋" w:eastAsia="仿宋"/>
          <w:b w:val="0"/>
          <w:bCs w:val="0"/>
          <w:color w:val="auto"/>
        </w:rPr>
        <w:t>入支出决算总表</w:t>
      </w:r>
      <w:bookmarkEnd w:id="60"/>
    </w:p>
    <w:p>
      <w:pPr>
        <w:pStyle w:val="4"/>
        <w:pageBreakBefore w:val="0"/>
        <w:kinsoku/>
        <w:wordWrap/>
        <w:overflowPunct/>
        <w:topLinePunct w:val="0"/>
        <w:bidi w:val="0"/>
        <w:spacing w:line="578" w:lineRule="exact"/>
        <w:rPr>
          <w:rFonts w:ascii="仿宋" w:hAnsi="仿宋" w:eastAsia="仿宋"/>
          <w:color w:val="auto"/>
        </w:rPr>
      </w:pPr>
      <w:bookmarkStart w:id="61" w:name="_Toc15396620"/>
      <w:r>
        <w:rPr>
          <w:rFonts w:hint="eastAsia" w:ascii="仿宋" w:hAnsi="仿宋" w:eastAsia="仿宋"/>
          <w:b w:val="0"/>
          <w:color w:val="auto"/>
        </w:rPr>
        <w:t>二、收</w:t>
      </w:r>
      <w:r>
        <w:rPr>
          <w:rStyle w:val="28"/>
          <w:rFonts w:hint="eastAsia" w:ascii="仿宋" w:hAnsi="仿宋" w:eastAsia="仿宋"/>
          <w:b w:val="0"/>
          <w:bCs w:val="0"/>
          <w:color w:val="auto"/>
        </w:rPr>
        <w:t>入决算表</w:t>
      </w:r>
      <w:bookmarkEnd w:id="61"/>
    </w:p>
    <w:p>
      <w:pPr>
        <w:pStyle w:val="4"/>
        <w:pageBreakBefore w:val="0"/>
        <w:kinsoku/>
        <w:wordWrap/>
        <w:overflowPunct/>
        <w:topLinePunct w:val="0"/>
        <w:bidi w:val="0"/>
        <w:spacing w:line="578" w:lineRule="exact"/>
        <w:rPr>
          <w:rFonts w:ascii="仿宋" w:hAnsi="仿宋" w:eastAsia="仿宋"/>
          <w:color w:val="auto"/>
        </w:rPr>
      </w:pPr>
      <w:bookmarkStart w:id="62" w:name="_Toc15396621"/>
      <w:r>
        <w:rPr>
          <w:rStyle w:val="28"/>
          <w:rFonts w:hint="eastAsia" w:ascii="仿宋" w:hAnsi="仿宋" w:eastAsia="仿宋"/>
          <w:b w:val="0"/>
          <w:bCs w:val="0"/>
          <w:color w:val="auto"/>
        </w:rPr>
        <w:t>三、</w:t>
      </w:r>
      <w:r>
        <w:rPr>
          <w:rFonts w:hint="eastAsia" w:ascii="仿宋" w:hAnsi="仿宋" w:eastAsia="仿宋"/>
          <w:b w:val="0"/>
          <w:color w:val="auto"/>
        </w:rPr>
        <w:t>支</w:t>
      </w:r>
      <w:r>
        <w:rPr>
          <w:rStyle w:val="28"/>
          <w:rFonts w:hint="eastAsia" w:ascii="仿宋" w:hAnsi="仿宋" w:eastAsia="仿宋"/>
          <w:b w:val="0"/>
          <w:bCs w:val="0"/>
          <w:color w:val="auto"/>
        </w:rPr>
        <w:t>出决算表</w:t>
      </w:r>
      <w:bookmarkEnd w:id="62"/>
    </w:p>
    <w:p>
      <w:pPr>
        <w:pStyle w:val="4"/>
        <w:pageBreakBefore w:val="0"/>
        <w:kinsoku/>
        <w:wordWrap/>
        <w:overflowPunct/>
        <w:topLinePunct w:val="0"/>
        <w:bidi w:val="0"/>
        <w:spacing w:line="578" w:lineRule="exact"/>
        <w:rPr>
          <w:rFonts w:ascii="仿宋" w:hAnsi="仿宋" w:eastAsia="仿宋"/>
          <w:b w:val="0"/>
          <w:color w:val="auto"/>
        </w:rPr>
      </w:pPr>
      <w:bookmarkStart w:id="63" w:name="_Toc15396622"/>
      <w:r>
        <w:rPr>
          <w:rStyle w:val="28"/>
          <w:rFonts w:hint="eastAsia" w:ascii="仿宋" w:hAnsi="仿宋" w:eastAsia="仿宋"/>
          <w:b w:val="0"/>
          <w:bCs w:val="0"/>
          <w:color w:val="auto"/>
        </w:rPr>
        <w:t>四、</w:t>
      </w:r>
      <w:r>
        <w:rPr>
          <w:rFonts w:hint="eastAsia" w:ascii="仿宋" w:hAnsi="仿宋" w:eastAsia="仿宋"/>
          <w:b w:val="0"/>
          <w:color w:val="auto"/>
        </w:rPr>
        <w:t>财</w:t>
      </w:r>
      <w:r>
        <w:rPr>
          <w:rStyle w:val="28"/>
          <w:rFonts w:hint="eastAsia" w:ascii="仿宋" w:hAnsi="仿宋" w:eastAsia="仿宋"/>
          <w:b w:val="0"/>
          <w:bCs w:val="0"/>
          <w:color w:val="auto"/>
        </w:rPr>
        <w:t>政拨款收入支出决算总表</w:t>
      </w:r>
      <w:bookmarkEnd w:id="63"/>
    </w:p>
    <w:p>
      <w:pPr>
        <w:pStyle w:val="4"/>
        <w:pageBreakBefore w:val="0"/>
        <w:kinsoku/>
        <w:wordWrap/>
        <w:overflowPunct/>
        <w:topLinePunct w:val="0"/>
        <w:bidi w:val="0"/>
        <w:spacing w:line="578" w:lineRule="exact"/>
        <w:rPr>
          <w:rStyle w:val="28"/>
          <w:rFonts w:ascii="仿宋" w:hAnsi="仿宋" w:eastAsia="仿宋"/>
          <w:b w:val="0"/>
          <w:bCs w:val="0"/>
          <w:color w:val="auto"/>
        </w:rPr>
      </w:pPr>
      <w:bookmarkStart w:id="64" w:name="_Toc15396623"/>
      <w:r>
        <w:rPr>
          <w:rStyle w:val="28"/>
          <w:rFonts w:hint="eastAsia" w:ascii="仿宋" w:hAnsi="仿宋" w:eastAsia="仿宋"/>
          <w:b w:val="0"/>
          <w:bCs w:val="0"/>
          <w:color w:val="auto"/>
        </w:rPr>
        <w:t>五、</w:t>
      </w:r>
      <w:r>
        <w:rPr>
          <w:rFonts w:hint="eastAsia" w:ascii="仿宋" w:hAnsi="仿宋" w:eastAsia="仿宋"/>
          <w:b w:val="0"/>
          <w:color w:val="auto"/>
        </w:rPr>
        <w:t>财</w:t>
      </w:r>
      <w:r>
        <w:rPr>
          <w:rStyle w:val="28"/>
          <w:rFonts w:hint="eastAsia" w:ascii="仿宋" w:hAnsi="仿宋" w:eastAsia="仿宋"/>
          <w:b w:val="0"/>
          <w:bCs w:val="0"/>
          <w:color w:val="auto"/>
        </w:rPr>
        <w:t>政拨款支出决算明细表</w:t>
      </w:r>
      <w:bookmarkEnd w:id="64"/>
      <w:bookmarkStart w:id="65" w:name="_Toc15396624"/>
    </w:p>
    <w:p>
      <w:pPr>
        <w:pStyle w:val="4"/>
        <w:pageBreakBefore w:val="0"/>
        <w:kinsoku/>
        <w:wordWrap/>
        <w:overflowPunct/>
        <w:topLinePunct w:val="0"/>
        <w:bidi w:val="0"/>
        <w:spacing w:line="578" w:lineRule="exact"/>
        <w:rPr>
          <w:rFonts w:ascii="仿宋" w:hAnsi="仿宋" w:eastAsia="仿宋"/>
          <w:color w:val="auto"/>
        </w:rPr>
      </w:pPr>
      <w:r>
        <w:rPr>
          <w:rStyle w:val="28"/>
          <w:rFonts w:hint="eastAsia" w:ascii="仿宋" w:hAnsi="仿宋" w:eastAsia="仿宋"/>
          <w:b w:val="0"/>
          <w:bCs w:val="0"/>
          <w:color w:val="auto"/>
        </w:rPr>
        <w:t>六、</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般公共预算财政拨款支出决算表</w:t>
      </w:r>
      <w:bookmarkEnd w:id="65"/>
    </w:p>
    <w:p>
      <w:pPr>
        <w:pStyle w:val="4"/>
        <w:pageBreakBefore w:val="0"/>
        <w:kinsoku/>
        <w:wordWrap/>
        <w:overflowPunct/>
        <w:topLinePunct w:val="0"/>
        <w:bidi w:val="0"/>
        <w:spacing w:line="578" w:lineRule="exact"/>
        <w:rPr>
          <w:rFonts w:ascii="仿宋" w:hAnsi="仿宋" w:eastAsia="仿宋"/>
          <w:color w:val="auto"/>
        </w:rPr>
      </w:pPr>
      <w:bookmarkStart w:id="66" w:name="_Toc15396625"/>
      <w:r>
        <w:rPr>
          <w:rStyle w:val="28"/>
          <w:rFonts w:hint="eastAsia" w:ascii="仿宋" w:hAnsi="仿宋" w:eastAsia="仿宋"/>
          <w:b w:val="0"/>
          <w:bCs w:val="0"/>
          <w:color w:val="auto"/>
        </w:rPr>
        <w:t>七、</w:t>
      </w:r>
      <w:r>
        <w:rPr>
          <w:rFonts w:hint="eastAsia" w:ascii="仿宋" w:hAnsi="仿宋" w:eastAsia="仿宋"/>
          <w:b w:val="0"/>
          <w:color w:val="auto"/>
        </w:rPr>
        <w:t>一</w:t>
      </w:r>
      <w:r>
        <w:rPr>
          <w:rStyle w:val="28"/>
          <w:rFonts w:hint="eastAsia" w:ascii="仿宋" w:hAnsi="仿宋" w:eastAsia="仿宋"/>
          <w:b w:val="0"/>
          <w:bCs w:val="0"/>
          <w:color w:val="auto"/>
        </w:rPr>
        <w:t>般公共预算财政拨款支出决算明细表</w:t>
      </w:r>
      <w:bookmarkEnd w:id="66"/>
    </w:p>
    <w:p>
      <w:pPr>
        <w:pStyle w:val="4"/>
        <w:pageBreakBefore w:val="0"/>
        <w:kinsoku/>
        <w:wordWrap/>
        <w:overflowPunct/>
        <w:topLinePunct w:val="0"/>
        <w:bidi w:val="0"/>
        <w:spacing w:line="578" w:lineRule="exact"/>
        <w:rPr>
          <w:rFonts w:ascii="仿宋" w:hAnsi="仿宋" w:eastAsia="仿宋"/>
          <w:color w:val="auto"/>
        </w:rPr>
      </w:pPr>
      <w:bookmarkStart w:id="67" w:name="_Toc15396626"/>
      <w:r>
        <w:rPr>
          <w:rStyle w:val="28"/>
          <w:rFonts w:hint="eastAsia" w:ascii="仿宋" w:hAnsi="仿宋" w:eastAsia="仿宋"/>
          <w:b w:val="0"/>
          <w:bCs w:val="0"/>
          <w:color w:val="auto"/>
        </w:rPr>
        <w:t>八、</w:t>
      </w:r>
      <w:r>
        <w:rPr>
          <w:rFonts w:hint="eastAsia" w:ascii="仿宋" w:hAnsi="仿宋" w:eastAsia="仿宋"/>
          <w:b w:val="0"/>
          <w:color w:val="auto"/>
        </w:rPr>
        <w:t>一</w:t>
      </w:r>
      <w:r>
        <w:rPr>
          <w:rStyle w:val="28"/>
          <w:rFonts w:hint="eastAsia" w:ascii="仿宋" w:hAnsi="仿宋" w:eastAsia="仿宋"/>
          <w:b w:val="0"/>
          <w:bCs w:val="0"/>
          <w:color w:val="auto"/>
        </w:rPr>
        <w:t>般公共预算财政拨款基本支出决算表</w:t>
      </w:r>
      <w:bookmarkEnd w:id="67"/>
    </w:p>
    <w:p>
      <w:pPr>
        <w:pStyle w:val="4"/>
        <w:pageBreakBefore w:val="0"/>
        <w:kinsoku/>
        <w:wordWrap/>
        <w:overflowPunct/>
        <w:topLinePunct w:val="0"/>
        <w:bidi w:val="0"/>
        <w:spacing w:line="578" w:lineRule="exact"/>
        <w:rPr>
          <w:rFonts w:ascii="仿宋" w:hAnsi="仿宋" w:eastAsia="仿宋"/>
          <w:color w:val="auto"/>
        </w:rPr>
      </w:pPr>
      <w:bookmarkStart w:id="68" w:name="_Toc15396627"/>
      <w:r>
        <w:rPr>
          <w:rStyle w:val="28"/>
          <w:rFonts w:hint="eastAsia" w:ascii="仿宋" w:hAnsi="仿宋" w:eastAsia="仿宋"/>
          <w:b w:val="0"/>
          <w:bCs w:val="0"/>
          <w:color w:val="auto"/>
        </w:rPr>
        <w:t>九、</w:t>
      </w:r>
      <w:r>
        <w:rPr>
          <w:rFonts w:hint="eastAsia" w:ascii="仿宋" w:hAnsi="仿宋" w:eastAsia="仿宋"/>
          <w:b w:val="0"/>
          <w:color w:val="auto"/>
        </w:rPr>
        <w:t>一</w:t>
      </w:r>
      <w:r>
        <w:rPr>
          <w:rStyle w:val="28"/>
          <w:rFonts w:hint="eastAsia" w:ascii="仿宋" w:hAnsi="仿宋" w:eastAsia="仿宋"/>
          <w:b w:val="0"/>
          <w:bCs w:val="0"/>
          <w:color w:val="auto"/>
        </w:rPr>
        <w:t>般公共预算财政拨款项目支出决算表</w:t>
      </w:r>
      <w:bookmarkEnd w:id="68"/>
    </w:p>
    <w:p>
      <w:pPr>
        <w:pStyle w:val="4"/>
        <w:pageBreakBefore w:val="0"/>
        <w:kinsoku/>
        <w:wordWrap/>
        <w:overflowPunct/>
        <w:topLinePunct w:val="0"/>
        <w:bidi w:val="0"/>
        <w:spacing w:line="578" w:lineRule="exact"/>
        <w:rPr>
          <w:rFonts w:ascii="仿宋" w:hAnsi="仿宋" w:eastAsia="仿宋"/>
          <w:color w:val="auto"/>
        </w:rPr>
      </w:pPr>
      <w:bookmarkStart w:id="69" w:name="_Toc15396628"/>
      <w:r>
        <w:rPr>
          <w:rStyle w:val="28"/>
          <w:rFonts w:hint="eastAsia" w:ascii="仿宋" w:hAnsi="仿宋" w:eastAsia="仿宋"/>
          <w:b w:val="0"/>
          <w:bCs w:val="0"/>
          <w:color w:val="auto"/>
        </w:rPr>
        <w:t>十、</w:t>
      </w:r>
      <w:r>
        <w:rPr>
          <w:rFonts w:hint="eastAsia" w:ascii="仿宋" w:hAnsi="仿宋" w:eastAsia="仿宋"/>
          <w:b w:val="0"/>
          <w:color w:val="auto"/>
        </w:rPr>
        <w:t>一</w:t>
      </w:r>
      <w:r>
        <w:rPr>
          <w:rStyle w:val="28"/>
          <w:rFonts w:hint="eastAsia" w:ascii="仿宋" w:hAnsi="仿宋" w:eastAsia="仿宋"/>
          <w:b w:val="0"/>
          <w:bCs w:val="0"/>
          <w:color w:val="auto"/>
        </w:rPr>
        <w:t>般公共预算财政拨款“三公”经费支出决算表</w:t>
      </w:r>
      <w:bookmarkEnd w:id="69"/>
    </w:p>
    <w:p>
      <w:pPr>
        <w:pStyle w:val="4"/>
        <w:pageBreakBefore w:val="0"/>
        <w:kinsoku/>
        <w:wordWrap/>
        <w:overflowPunct/>
        <w:topLinePunct w:val="0"/>
        <w:bidi w:val="0"/>
        <w:spacing w:line="578" w:lineRule="exact"/>
        <w:rPr>
          <w:rFonts w:ascii="仿宋" w:hAnsi="仿宋" w:eastAsia="仿宋"/>
          <w:color w:val="auto"/>
        </w:rPr>
      </w:pPr>
      <w:bookmarkStart w:id="70" w:name="_Toc15396629"/>
      <w:r>
        <w:rPr>
          <w:rStyle w:val="28"/>
          <w:rFonts w:hint="eastAsia" w:ascii="仿宋" w:hAnsi="仿宋" w:eastAsia="仿宋"/>
          <w:b w:val="0"/>
          <w:bCs w:val="0"/>
          <w:color w:val="auto"/>
        </w:rPr>
        <w:t>十一、</w:t>
      </w:r>
      <w:r>
        <w:rPr>
          <w:rFonts w:hint="eastAsia" w:ascii="仿宋" w:hAnsi="仿宋" w:eastAsia="仿宋"/>
          <w:b w:val="0"/>
          <w:color w:val="auto"/>
        </w:rPr>
        <w:t>政</w:t>
      </w:r>
      <w:r>
        <w:rPr>
          <w:rStyle w:val="28"/>
          <w:rFonts w:hint="eastAsia" w:ascii="仿宋" w:hAnsi="仿宋" w:eastAsia="仿宋"/>
          <w:b w:val="0"/>
          <w:bCs w:val="0"/>
          <w:color w:val="auto"/>
        </w:rPr>
        <w:t>府性基金预算财政拨款收入支出决算表</w:t>
      </w:r>
      <w:bookmarkEnd w:id="70"/>
    </w:p>
    <w:p>
      <w:pPr>
        <w:pStyle w:val="4"/>
        <w:pageBreakBefore w:val="0"/>
        <w:kinsoku/>
        <w:wordWrap/>
        <w:overflowPunct/>
        <w:topLinePunct w:val="0"/>
        <w:bidi w:val="0"/>
        <w:spacing w:line="578" w:lineRule="exact"/>
        <w:rPr>
          <w:rFonts w:ascii="仿宋" w:hAnsi="仿宋" w:eastAsia="仿宋"/>
          <w:color w:val="auto"/>
        </w:rPr>
      </w:pPr>
      <w:bookmarkStart w:id="71" w:name="_Toc15396630"/>
      <w:r>
        <w:rPr>
          <w:rStyle w:val="28"/>
          <w:rFonts w:hint="eastAsia" w:ascii="仿宋" w:hAnsi="仿宋" w:eastAsia="仿宋"/>
          <w:b w:val="0"/>
          <w:bCs w:val="0"/>
          <w:color w:val="auto"/>
        </w:rPr>
        <w:t>十二、</w:t>
      </w:r>
      <w:r>
        <w:rPr>
          <w:rFonts w:hint="eastAsia" w:ascii="仿宋" w:hAnsi="仿宋" w:eastAsia="仿宋"/>
          <w:b w:val="0"/>
          <w:color w:val="auto"/>
        </w:rPr>
        <w:t>政</w:t>
      </w:r>
      <w:r>
        <w:rPr>
          <w:rStyle w:val="28"/>
          <w:rFonts w:hint="eastAsia" w:ascii="仿宋" w:hAnsi="仿宋" w:eastAsia="仿宋"/>
          <w:b w:val="0"/>
          <w:bCs w:val="0"/>
          <w:color w:val="auto"/>
        </w:rPr>
        <w:t>府性基金预算财政拨款“三公”经费支出决算表</w:t>
      </w:r>
      <w:bookmarkEnd w:id="71"/>
    </w:p>
    <w:p>
      <w:pPr>
        <w:pStyle w:val="4"/>
        <w:pageBreakBefore w:val="0"/>
        <w:kinsoku/>
        <w:wordWrap/>
        <w:overflowPunct/>
        <w:topLinePunct w:val="0"/>
        <w:bidi w:val="0"/>
        <w:spacing w:line="578" w:lineRule="exact"/>
        <w:rPr>
          <w:rStyle w:val="28"/>
          <w:rFonts w:ascii="仿宋" w:hAnsi="仿宋" w:eastAsia="仿宋"/>
          <w:b w:val="0"/>
          <w:bCs w:val="0"/>
          <w:color w:val="auto"/>
        </w:rPr>
      </w:pPr>
      <w:bookmarkStart w:id="72" w:name="_Toc15396631"/>
      <w:r>
        <w:rPr>
          <w:rStyle w:val="28"/>
          <w:rFonts w:hint="eastAsia" w:ascii="仿宋" w:hAnsi="仿宋" w:eastAsia="仿宋"/>
          <w:b w:val="0"/>
          <w:bCs w:val="0"/>
          <w:color w:val="auto"/>
        </w:rPr>
        <w:t>十三、</w:t>
      </w:r>
      <w:r>
        <w:rPr>
          <w:rFonts w:hint="eastAsia" w:ascii="仿宋" w:hAnsi="仿宋" w:eastAsia="仿宋"/>
          <w:b w:val="0"/>
          <w:color w:val="auto"/>
        </w:rPr>
        <w:t>国</w:t>
      </w:r>
      <w:r>
        <w:rPr>
          <w:rStyle w:val="28"/>
          <w:rFonts w:hint="eastAsia" w:ascii="仿宋" w:hAnsi="仿宋" w:eastAsia="仿宋"/>
          <w:b w:val="0"/>
          <w:bCs w:val="0"/>
          <w:color w:val="auto"/>
        </w:rPr>
        <w:t>有资本经营预算财政拨款收入支出决算表</w:t>
      </w:r>
      <w:bookmarkEnd w:id="72"/>
    </w:p>
    <w:p>
      <w:pPr>
        <w:pageBreakBefore w:val="0"/>
        <w:kinsoku/>
        <w:wordWrap/>
        <w:overflowPunct/>
        <w:topLinePunct w:val="0"/>
        <w:bidi w:val="0"/>
        <w:spacing w:line="578" w:lineRule="exact"/>
        <w:rPr>
          <w:rFonts w:eastAsia="仿宋"/>
          <w:color w:val="auto"/>
        </w:rPr>
      </w:pPr>
      <w:r>
        <w:rPr>
          <w:rStyle w:val="28"/>
          <w:rFonts w:hint="eastAsia" w:ascii="仿宋" w:hAnsi="仿宋" w:eastAsia="仿宋"/>
          <w:b w:val="0"/>
          <w:bCs w:val="0"/>
          <w:color w:val="auto"/>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fal">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416A8"/>
    <w:multiLevelType w:val="singleLevel"/>
    <w:tmpl w:val="9B5416A8"/>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F2C73EF"/>
    <w:multiLevelType w:val="singleLevel"/>
    <w:tmpl w:val="7F2C73EF"/>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MDIyNzQ0ZjgxYTJhZTE3YTI1NTYwZDYwN2ZiZ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431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4E5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251D"/>
    <w:rsid w:val="00F36D8F"/>
    <w:rsid w:val="00F417B1"/>
    <w:rsid w:val="00F45853"/>
    <w:rsid w:val="00F602DF"/>
    <w:rsid w:val="00F64C52"/>
    <w:rsid w:val="00F754A1"/>
    <w:rsid w:val="00F81FD9"/>
    <w:rsid w:val="00F841AA"/>
    <w:rsid w:val="00F84A94"/>
    <w:rsid w:val="00F87E96"/>
    <w:rsid w:val="00FA23E8"/>
    <w:rsid w:val="00FD3CC1"/>
    <w:rsid w:val="00FF1E02"/>
    <w:rsid w:val="00FF30B4"/>
    <w:rsid w:val="01506ABD"/>
    <w:rsid w:val="062F4905"/>
    <w:rsid w:val="066E0107"/>
    <w:rsid w:val="07996F6E"/>
    <w:rsid w:val="0A2032A3"/>
    <w:rsid w:val="101860EC"/>
    <w:rsid w:val="10C055FF"/>
    <w:rsid w:val="118107EC"/>
    <w:rsid w:val="12C16B2D"/>
    <w:rsid w:val="13340991"/>
    <w:rsid w:val="13D50BC4"/>
    <w:rsid w:val="16BB723D"/>
    <w:rsid w:val="1BE8440E"/>
    <w:rsid w:val="1D155CEE"/>
    <w:rsid w:val="23860B96"/>
    <w:rsid w:val="240371BF"/>
    <w:rsid w:val="252E0895"/>
    <w:rsid w:val="29FD04D3"/>
    <w:rsid w:val="2C8A61B5"/>
    <w:rsid w:val="2DF04E50"/>
    <w:rsid w:val="31037856"/>
    <w:rsid w:val="319F7F4E"/>
    <w:rsid w:val="36AA5135"/>
    <w:rsid w:val="37E16F03"/>
    <w:rsid w:val="3D98207C"/>
    <w:rsid w:val="44E268DA"/>
    <w:rsid w:val="45C86F91"/>
    <w:rsid w:val="4A627F82"/>
    <w:rsid w:val="4B4F25DA"/>
    <w:rsid w:val="4BE068DB"/>
    <w:rsid w:val="4D577224"/>
    <w:rsid w:val="4EAB630A"/>
    <w:rsid w:val="4ECE2238"/>
    <w:rsid w:val="5029232C"/>
    <w:rsid w:val="5A0564BE"/>
    <w:rsid w:val="5AF92295"/>
    <w:rsid w:val="5CD71FC4"/>
    <w:rsid w:val="5F7C1524"/>
    <w:rsid w:val="5FEC1BC8"/>
    <w:rsid w:val="63C3598F"/>
    <w:rsid w:val="6C4A05C8"/>
    <w:rsid w:val="6DD3698C"/>
    <w:rsid w:val="6E7E3605"/>
    <w:rsid w:val="6FF5CC65"/>
    <w:rsid w:val="715C0E4B"/>
    <w:rsid w:val="72734D90"/>
    <w:rsid w:val="73AD73D5"/>
    <w:rsid w:val="73B6EB34"/>
    <w:rsid w:val="75056C52"/>
    <w:rsid w:val="77AD1FAE"/>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2"/>
    <w:qFormat/>
    <w:uiPriority w:val="99"/>
    <w:pPr>
      <w:tabs>
        <w:tab w:val="center" w:pos="4153"/>
        <w:tab w:val="right" w:pos="8306"/>
      </w:tabs>
      <w:snapToGrid w:val="0"/>
      <w:jc w:val="left"/>
    </w:pPr>
    <w:rPr>
      <w:rFonts w:ascii="Calibri" w:hAnsi="Calibri"/>
      <w:kern w:val="0"/>
      <w:sz w:val="18"/>
      <w:szCs w:val="18"/>
    </w:rPr>
  </w:style>
  <w:style w:type="paragraph" w:styleId="6">
    <w:name w:val="Salutation"/>
    <w:basedOn w:val="1"/>
    <w:next w:val="1"/>
    <w:qFormat/>
    <w:uiPriority w:val="99"/>
    <w:rPr>
      <w:rFonts w:eastAsia="宋体fal"/>
      <w:sz w:val="24"/>
      <w:szCs w:val="24"/>
    </w:r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unhideWhenUsed/>
    <w:qFormat/>
    <w:uiPriority w:val="0"/>
    <w:pPr>
      <w:spacing w:line="576" w:lineRule="exact"/>
    </w:pPr>
    <w:rPr>
      <w:rFonts w:ascii="宋体" w:hAnsi="Courier New" w:eastAsia="Times New Roman"/>
      <w:snapToGrid w:val="0"/>
      <w:kern w:val="0"/>
      <w:szCs w:val="21"/>
    </w:rPr>
  </w:style>
  <w:style w:type="paragraph" w:styleId="10">
    <w:name w:val="Balloon Text"/>
    <w:basedOn w:val="1"/>
    <w:link w:val="30"/>
    <w:semiHidden/>
    <w:unhideWhenUsed/>
    <w:qFormat/>
    <w:uiPriority w:val="99"/>
    <w:rPr>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2"/>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NormalCharacter"/>
    <w:link w:val="34"/>
    <w:semiHidden/>
    <w:qFormat/>
    <w:uiPriority w:val="0"/>
    <w:rPr>
      <w:rFonts w:ascii="Times New Roman" w:hAnsi="Times New Roman" w:cs="Times New Roman"/>
      <w:szCs w:val="21"/>
    </w:rPr>
  </w:style>
  <w:style w:type="paragraph" w:customStyle="1" w:styleId="34">
    <w:name w:val="UserStyle_2"/>
    <w:basedOn w:val="1"/>
    <w:link w:val="33"/>
    <w:qFormat/>
    <w:uiPriority w:val="0"/>
    <w:pPr>
      <w:spacing w:line="578" w:lineRule="exact"/>
      <w:textAlignment w:val="baseline"/>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决算收入</c:v>
                </c:pt>
                <c:pt idx="1">
                  <c:v>决算支出</c:v>
                </c:pt>
              </c:strCache>
            </c:strRef>
          </c:cat>
          <c:val>
            <c:numRef>
              <c:f>Sheet1!$B$2:$B$3</c:f>
              <c:numCache>
                <c:formatCode>General</c:formatCode>
                <c:ptCount val="2"/>
                <c:pt idx="0">
                  <c:v>138.54</c:v>
                </c:pt>
                <c:pt idx="1">
                  <c:v>169.71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决算收入</c:v>
                </c:pt>
                <c:pt idx="1">
                  <c:v>决算支出</c:v>
                </c:pt>
              </c:strCache>
            </c:strRef>
          </c:cat>
          <c:val>
            <c:numRef>
              <c:f>Sheet1!$C$2:$C$3</c:f>
              <c:numCache>
                <c:formatCode>General</c:formatCode>
                <c:ptCount val="2"/>
                <c:pt idx="0">
                  <c:v>103.27</c:v>
                </c:pt>
                <c:pt idx="1">
                  <c:v>133.51</c:v>
                </c:pt>
              </c:numCache>
            </c:numRef>
          </c:val>
        </c:ser>
        <c:dLbls>
          <c:showLegendKey val="0"/>
          <c:showVal val="1"/>
          <c:showCatName val="0"/>
          <c:showSerName val="0"/>
          <c:showPercent val="0"/>
          <c:showBubbleSize val="0"/>
        </c:dLbls>
        <c:gapWidth val="219"/>
        <c:overlap val="-27"/>
        <c:axId val="589931595"/>
        <c:axId val="964157628"/>
      </c:barChart>
      <c:catAx>
        <c:axId val="5899315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4157628"/>
        <c:crosses val="autoZero"/>
        <c:auto val="1"/>
        <c:lblAlgn val="ctr"/>
        <c:lblOffset val="100"/>
        <c:noMultiLvlLbl val="0"/>
      </c:catAx>
      <c:valAx>
        <c:axId val="9641576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9931595"/>
        <c:crosses val="autoZero"/>
        <c:crossBetween val="between"/>
      </c:valAx>
      <c:spPr>
        <a:noFill/>
        <a:ln>
          <a:noFill/>
        </a:ln>
        <a:effectLst/>
      </c:spPr>
    </c:plotArea>
    <c:legend>
      <c:legendPos val="b"/>
      <c:layout>
        <c:manualLayout>
          <c:xMode val="edge"/>
          <c:yMode val="edge"/>
          <c:x val="0.29848820058997"/>
          <c:y val="0.8787276341948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7518345563709"/>
          <c:y val="0.049972237645752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2021年收入决算结构</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103.27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81.26</c:v>
                </c:pt>
                <c:pt idx="1">
                  <c:v>52.25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135.34</c:v>
                </c:pt>
                <c:pt idx="1">
                  <c:v>135.34</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169.71</c:v>
                </c:pt>
                <c:pt idx="1">
                  <c:v>169.71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27053438"/>
        <c:axId val="365737569"/>
      </c:barChart>
      <c:catAx>
        <c:axId val="4270534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737569"/>
        <c:crosses val="autoZero"/>
        <c:auto val="1"/>
        <c:lblAlgn val="ctr"/>
        <c:lblOffset val="100"/>
        <c:noMultiLvlLbl val="0"/>
      </c:catAx>
      <c:valAx>
        <c:axId val="3657375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0534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c:v>
                </c:pt>
              </c:strCache>
            </c:strRef>
          </c:cat>
          <c:val>
            <c:numRef>
              <c:f>Sheet1!$B$2</c:f>
              <c:numCache>
                <c:formatCode>General</c:formatCode>
                <c:ptCount val="1"/>
                <c:pt idx="0">
                  <c:v>133.51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财政拨款支出</c:v>
                </c:pt>
              </c:strCache>
            </c:strRef>
          </c:cat>
          <c:val>
            <c:numRef>
              <c:f>Sheet1!$C$2</c:f>
              <c:numCache>
                <c:formatCode>General</c:formatCode>
                <c:ptCount val="1"/>
                <c:pt idx="0">
                  <c:v>169.71</c:v>
                </c:pt>
              </c:numCache>
            </c:numRef>
          </c:val>
        </c:ser>
        <c:dLbls>
          <c:showLegendKey val="0"/>
          <c:showVal val="0"/>
          <c:showCatName val="0"/>
          <c:showSerName val="0"/>
          <c:showPercent val="0"/>
          <c:showBubbleSize val="0"/>
        </c:dLbls>
        <c:gapWidth val="219"/>
        <c:overlap val="-27"/>
        <c:axId val="34673411"/>
        <c:axId val="655282817"/>
      </c:barChart>
      <c:catAx>
        <c:axId val="346734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5282817"/>
        <c:crosses val="autoZero"/>
        <c:auto val="1"/>
        <c:lblAlgn val="ctr"/>
        <c:lblOffset val="100"/>
        <c:noMultiLvlLbl val="0"/>
      </c:catAx>
      <c:valAx>
        <c:axId val="6552828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6734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c:v>
                </c:pt>
                <c:pt idx="2">
                  <c:v>卫生健康支出</c:v>
                </c:pt>
                <c:pt idx="3">
                  <c:v>住房保障支出</c:v>
                </c:pt>
              </c:strCache>
            </c:strRef>
          </c:cat>
          <c:val>
            <c:numRef>
              <c:f>Sheet1!$B$2:$B$5</c:f>
              <c:numCache>
                <c:formatCode>General</c:formatCode>
                <c:ptCount val="4"/>
                <c:pt idx="0">
                  <c:v>121.85</c:v>
                </c:pt>
                <c:pt idx="1">
                  <c:v>4.56</c:v>
                </c:pt>
                <c:pt idx="2">
                  <c:v>3.68</c:v>
                </c:pt>
                <c:pt idx="3">
                  <c:v>3.42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11603</Words>
  <Characters>12198</Characters>
  <Lines>57</Lines>
  <Paragraphs>16</Paragraphs>
  <TotalTime>22</TotalTime>
  <ScaleCrop>false</ScaleCrop>
  <LinksUpToDate>false</LinksUpToDate>
  <CharactersWithSpaces>12226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2022-11-23T03:12:35Z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C844AA41FE484149BD26088B1D4D53E1</vt:lpwstr>
  </property>
</Properties>
</file>